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A12B83" w:rsidRPr="000D167D" w:rsidRDefault="00A12B83" w:rsidP="00A12B83">
      <w:pPr>
        <w:ind w:right="113"/>
        <w:jc w:val="center"/>
        <w:rPr>
          <w:rFonts w:ascii="Times New Roman" w:hAnsi="Times New Roman"/>
          <w:lang w:val="ru-RU"/>
        </w:rPr>
      </w:pPr>
      <w:r w:rsidRPr="000D167D">
        <w:rPr>
          <w:rFonts w:ascii="Times New Roman" w:hAnsi="Times New Roman"/>
        </w:rPr>
        <w:object w:dxaOrig="6241" w:dyaOrig="8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pt;height:46.75pt" o:ole="">
            <v:imagedata r:id="rId9" o:title=""/>
          </v:shape>
          <o:OLEObject Type="Embed" ProgID="MSDraw" ShapeID="_x0000_i1025" DrawAspect="Content" ObjectID="_1681240451" r:id="rId10">
            <o:FieldCodes>\* MERGEFORMAT</o:FieldCodes>
          </o:OLEObject>
        </w:object>
      </w:r>
    </w:p>
    <w:p w:rsidR="00A12B83" w:rsidRPr="00766AE3" w:rsidRDefault="00A12B83" w:rsidP="00766AE3">
      <w:pPr>
        <w:widowControl w:val="0"/>
        <w:autoSpaceDE w:val="0"/>
        <w:autoSpaceDN w:val="0"/>
        <w:adjustRightInd w:val="0"/>
        <w:ind w:left="720"/>
        <w:jc w:val="center"/>
        <w:rPr>
          <w:rFonts w:ascii="Times New Roman" w:hAnsi="Times New Roman"/>
          <w:sz w:val="16"/>
          <w:szCs w:val="16"/>
        </w:rPr>
      </w:pPr>
    </w:p>
    <w:p w:rsidR="00A12B83" w:rsidRPr="00766AE3" w:rsidRDefault="00A12B83" w:rsidP="00A12B83">
      <w:pPr>
        <w:jc w:val="center"/>
        <w:rPr>
          <w:rFonts w:ascii="Times New Roman" w:hAnsi="Times New Roman"/>
          <w:b/>
          <w:bCs/>
          <w:sz w:val="32"/>
          <w:szCs w:val="32"/>
        </w:rPr>
      </w:pPr>
      <w:r w:rsidRPr="00766AE3">
        <w:rPr>
          <w:rFonts w:ascii="Times New Roman" w:hAnsi="Times New Roman"/>
          <w:b/>
          <w:bCs/>
          <w:sz w:val="32"/>
          <w:szCs w:val="32"/>
        </w:rPr>
        <w:t>АНТИМОНОПОЛЬНИЙ КОМІТЕТ УКРАЇНИ</w:t>
      </w:r>
    </w:p>
    <w:p w:rsidR="00A12B83" w:rsidRPr="00766AE3" w:rsidRDefault="00A12B83" w:rsidP="00A12B83">
      <w:pPr>
        <w:jc w:val="center"/>
        <w:rPr>
          <w:rFonts w:ascii="Times New Roman" w:hAnsi="Times New Roman"/>
          <w:b/>
          <w:bCs/>
          <w:sz w:val="28"/>
          <w:szCs w:val="28"/>
        </w:rPr>
      </w:pPr>
    </w:p>
    <w:p w:rsidR="00A12B83" w:rsidRPr="00766AE3" w:rsidRDefault="00A12B83" w:rsidP="00A12B83">
      <w:pPr>
        <w:jc w:val="center"/>
        <w:rPr>
          <w:rFonts w:ascii="Times New Roman" w:hAnsi="Times New Roman"/>
          <w:b/>
          <w:bCs/>
          <w:sz w:val="32"/>
          <w:szCs w:val="32"/>
        </w:rPr>
      </w:pPr>
      <w:r w:rsidRPr="00766AE3">
        <w:rPr>
          <w:rFonts w:ascii="Times New Roman" w:hAnsi="Times New Roman"/>
          <w:b/>
          <w:bCs/>
          <w:sz w:val="32"/>
          <w:szCs w:val="32"/>
        </w:rPr>
        <w:t>РІШЕННЯ</w:t>
      </w:r>
    </w:p>
    <w:p w:rsidR="00A12B83" w:rsidRPr="00766AE3" w:rsidRDefault="00A12B83" w:rsidP="00A12B83">
      <w:pPr>
        <w:jc w:val="center"/>
        <w:rPr>
          <w:rFonts w:ascii="Times New Roman" w:hAnsi="Times New Roman"/>
          <w:b/>
          <w:bCs/>
          <w:sz w:val="28"/>
          <w:szCs w:val="28"/>
        </w:rPr>
      </w:pPr>
    </w:p>
    <w:p w:rsidR="00A12B83" w:rsidRPr="000D167D" w:rsidRDefault="003F689E" w:rsidP="00A12B83">
      <w:pPr>
        <w:rPr>
          <w:rFonts w:ascii="Times New Roman" w:hAnsi="Times New Roman"/>
          <w:bCs/>
        </w:rPr>
      </w:pPr>
      <w:r>
        <w:rPr>
          <w:rFonts w:ascii="Times New Roman" w:hAnsi="Times New Roman"/>
          <w:bCs/>
        </w:rPr>
        <w:t>22 квітня</w:t>
      </w:r>
      <w:r w:rsidRPr="000D167D">
        <w:rPr>
          <w:rFonts w:ascii="Times New Roman" w:hAnsi="Times New Roman"/>
          <w:bCs/>
        </w:rPr>
        <w:t xml:space="preserve"> </w:t>
      </w:r>
      <w:r w:rsidR="00A12B83" w:rsidRPr="000D167D">
        <w:rPr>
          <w:rFonts w:ascii="Times New Roman" w:hAnsi="Times New Roman"/>
          <w:bCs/>
        </w:rPr>
        <w:t>20</w:t>
      </w:r>
      <w:r w:rsidR="00A12B83" w:rsidRPr="000D167D">
        <w:rPr>
          <w:rFonts w:ascii="Times New Roman" w:hAnsi="Times New Roman"/>
          <w:bCs/>
          <w:lang w:val="ru-RU"/>
        </w:rPr>
        <w:t>2</w:t>
      </w:r>
      <w:r w:rsidR="00C04B9D">
        <w:rPr>
          <w:rFonts w:ascii="Times New Roman" w:hAnsi="Times New Roman"/>
          <w:bCs/>
          <w:lang w:val="ru-RU"/>
        </w:rPr>
        <w:t>1</w:t>
      </w:r>
      <w:r w:rsidR="00A12B83" w:rsidRPr="000D167D">
        <w:rPr>
          <w:rFonts w:ascii="Times New Roman" w:hAnsi="Times New Roman"/>
          <w:bCs/>
        </w:rPr>
        <w:t xml:space="preserve"> р.</w:t>
      </w:r>
      <w:r w:rsidR="00A12B83" w:rsidRPr="000D167D">
        <w:rPr>
          <w:rFonts w:ascii="Times New Roman" w:hAnsi="Times New Roman"/>
          <w:bCs/>
        </w:rPr>
        <w:tab/>
      </w:r>
      <w:r w:rsidR="00A12B83" w:rsidRPr="000D167D">
        <w:rPr>
          <w:rFonts w:ascii="Times New Roman" w:hAnsi="Times New Roman"/>
          <w:bCs/>
        </w:rPr>
        <w:tab/>
      </w:r>
      <w:r w:rsidR="00A12B83" w:rsidRPr="000D167D">
        <w:rPr>
          <w:rFonts w:ascii="Times New Roman" w:hAnsi="Times New Roman"/>
          <w:bCs/>
        </w:rPr>
        <w:tab/>
      </w:r>
      <w:r w:rsidR="00A12B83" w:rsidRPr="000D167D">
        <w:rPr>
          <w:rFonts w:ascii="Times New Roman" w:hAnsi="Times New Roman"/>
          <w:bCs/>
        </w:rPr>
        <w:tab/>
        <w:t xml:space="preserve">     Київ</w:t>
      </w:r>
      <w:r w:rsidR="00A12B83" w:rsidRPr="000D167D">
        <w:rPr>
          <w:rFonts w:ascii="Times New Roman" w:hAnsi="Times New Roman"/>
          <w:bCs/>
        </w:rPr>
        <w:tab/>
      </w:r>
      <w:r w:rsidR="00A12B83" w:rsidRPr="000D167D">
        <w:rPr>
          <w:rFonts w:ascii="Times New Roman" w:hAnsi="Times New Roman"/>
          <w:bCs/>
        </w:rPr>
        <w:tab/>
      </w:r>
      <w:r w:rsidR="00A12B83" w:rsidRPr="000D167D">
        <w:rPr>
          <w:rFonts w:ascii="Times New Roman" w:hAnsi="Times New Roman"/>
          <w:bCs/>
        </w:rPr>
        <w:tab/>
      </w:r>
      <w:r w:rsidR="00A12B83" w:rsidRPr="000D167D">
        <w:rPr>
          <w:rFonts w:ascii="Times New Roman" w:hAnsi="Times New Roman"/>
          <w:bCs/>
        </w:rPr>
        <w:tab/>
        <w:t xml:space="preserve">№ </w:t>
      </w:r>
      <w:r>
        <w:rPr>
          <w:rFonts w:ascii="Times New Roman" w:hAnsi="Times New Roman"/>
          <w:bCs/>
        </w:rPr>
        <w:t>233-р</w:t>
      </w:r>
    </w:p>
    <w:p w:rsidR="00A12B83" w:rsidRPr="000D167D" w:rsidRDefault="00A12B83" w:rsidP="00A12B83">
      <w:pPr>
        <w:rPr>
          <w:rFonts w:ascii="Times New Roman" w:hAnsi="Times New Roman"/>
          <w:bCs/>
        </w:rPr>
      </w:pPr>
    </w:p>
    <w:p w:rsidR="00A12B83" w:rsidRPr="000D167D" w:rsidRDefault="00A12B83" w:rsidP="00A12B83">
      <w:pPr>
        <w:rPr>
          <w:rFonts w:ascii="Times New Roman" w:hAnsi="Times New Roman"/>
          <w:bCs/>
        </w:rPr>
      </w:pPr>
      <w:r w:rsidRPr="000D167D">
        <w:rPr>
          <w:rFonts w:ascii="Times New Roman" w:hAnsi="Times New Roman"/>
          <w:bCs/>
        </w:rPr>
        <w:t xml:space="preserve">Про закриття провадження </w:t>
      </w:r>
    </w:p>
    <w:p w:rsidR="00A12B83" w:rsidRPr="000D167D" w:rsidRDefault="00A12B83" w:rsidP="00A12B83">
      <w:pPr>
        <w:rPr>
          <w:rFonts w:ascii="Times New Roman" w:hAnsi="Times New Roman"/>
          <w:bCs/>
        </w:rPr>
      </w:pPr>
      <w:r w:rsidRPr="000D167D">
        <w:rPr>
          <w:rFonts w:ascii="Times New Roman" w:hAnsi="Times New Roman"/>
          <w:bCs/>
        </w:rPr>
        <w:t>у справі</w:t>
      </w:r>
    </w:p>
    <w:p w:rsidR="00A12B83" w:rsidRPr="000D167D" w:rsidRDefault="00A12B83" w:rsidP="00A12B83">
      <w:pPr>
        <w:rPr>
          <w:rFonts w:ascii="Times New Roman" w:hAnsi="Times New Roman"/>
          <w:bCs/>
        </w:rPr>
      </w:pPr>
    </w:p>
    <w:p w:rsidR="00A12B83" w:rsidRPr="000D167D" w:rsidRDefault="00A12B83" w:rsidP="00A12B83">
      <w:pPr>
        <w:jc w:val="both"/>
        <w:rPr>
          <w:rFonts w:ascii="Times New Roman" w:hAnsi="Times New Roman"/>
        </w:rPr>
      </w:pPr>
      <w:r w:rsidRPr="000D167D">
        <w:rPr>
          <w:rFonts w:ascii="Times New Roman" w:hAnsi="Times New Roman"/>
          <w:bCs/>
        </w:rPr>
        <w:tab/>
        <w:t xml:space="preserve">Антимонопольний комітет України, розглянувши матеріали справи </w:t>
      </w:r>
      <w:r w:rsidRPr="000D167D">
        <w:rPr>
          <w:rFonts w:ascii="Times New Roman" w:hAnsi="Times New Roman"/>
        </w:rPr>
        <w:t>№ 130-26.13/107-16 про порушення публічним акціонерним товариством «Розрахунковий центр з обслуговування договорів на фінансових ринках» законодавства про захист економічної конкуренції</w:t>
      </w:r>
      <w:r w:rsidRPr="000D167D">
        <w:rPr>
          <w:rFonts w:ascii="Times New Roman" w:hAnsi="Times New Roman"/>
          <w:bCs/>
        </w:rPr>
        <w:t xml:space="preserve"> та подання </w:t>
      </w:r>
      <w:r w:rsidRPr="000D167D">
        <w:rPr>
          <w:rFonts w:ascii="Times New Roman" w:hAnsi="Times New Roman"/>
        </w:rPr>
        <w:t>Департаменту досліджень і розслідувань ринків невиробничої сфери від 13.11.2020 № 130-26.13/107-16/537-спр</w:t>
      </w:r>
      <w:r w:rsidR="00AD621F">
        <w:rPr>
          <w:rFonts w:ascii="Times New Roman" w:hAnsi="Times New Roman"/>
        </w:rPr>
        <w:t>,</w:t>
      </w:r>
      <w:r w:rsidRPr="000D167D">
        <w:rPr>
          <w:rFonts w:ascii="Times New Roman" w:hAnsi="Times New Roman"/>
        </w:rPr>
        <w:t xml:space="preserve"> </w:t>
      </w:r>
    </w:p>
    <w:p w:rsidR="00A12B83" w:rsidRPr="000D167D" w:rsidRDefault="00A12B83" w:rsidP="00A12B83">
      <w:pPr>
        <w:jc w:val="both"/>
        <w:rPr>
          <w:rFonts w:ascii="Times New Roman" w:hAnsi="Times New Roman"/>
        </w:rPr>
      </w:pPr>
    </w:p>
    <w:p w:rsidR="00A12B83" w:rsidRPr="000D167D" w:rsidRDefault="00A12B83" w:rsidP="00A12B83">
      <w:pPr>
        <w:jc w:val="center"/>
        <w:rPr>
          <w:rFonts w:ascii="Times New Roman" w:hAnsi="Times New Roman"/>
          <w:b/>
        </w:rPr>
      </w:pPr>
      <w:r w:rsidRPr="000D167D">
        <w:rPr>
          <w:rFonts w:ascii="Times New Roman" w:hAnsi="Times New Roman"/>
          <w:b/>
        </w:rPr>
        <w:t>ВСТАНОВИВ:</w:t>
      </w:r>
    </w:p>
    <w:p w:rsidR="00A12B83" w:rsidRPr="000D167D" w:rsidRDefault="00A12B83" w:rsidP="00A12B83">
      <w:pPr>
        <w:jc w:val="center"/>
        <w:rPr>
          <w:rFonts w:ascii="Times New Roman" w:hAnsi="Times New Roman"/>
          <w:b/>
        </w:rPr>
      </w:pPr>
    </w:p>
    <w:p w:rsidR="00A12B83" w:rsidRPr="00D8497D" w:rsidRDefault="00A12B83" w:rsidP="00D8497D">
      <w:pPr>
        <w:pStyle w:val="aa"/>
        <w:numPr>
          <w:ilvl w:val="0"/>
          <w:numId w:val="13"/>
        </w:numPr>
        <w:ind w:left="284" w:hanging="284"/>
        <w:rPr>
          <w:rFonts w:ascii="Times New Roman" w:hAnsi="Times New Roman"/>
          <w:b/>
        </w:rPr>
      </w:pPr>
      <w:r w:rsidRPr="00D8497D">
        <w:rPr>
          <w:rFonts w:ascii="Times New Roman" w:hAnsi="Times New Roman"/>
          <w:b/>
        </w:rPr>
        <w:t>ПРЕДМЕТ СПРАВИ</w:t>
      </w:r>
    </w:p>
    <w:p w:rsidR="00D8497D" w:rsidRPr="00D8497D" w:rsidRDefault="00D8497D" w:rsidP="00D8497D">
      <w:pPr>
        <w:pStyle w:val="aa"/>
        <w:ind w:left="0"/>
        <w:rPr>
          <w:rFonts w:ascii="Times New Roman" w:hAnsi="Times New Roman"/>
          <w:b/>
        </w:rPr>
      </w:pPr>
    </w:p>
    <w:p w:rsidR="00A12B83" w:rsidRPr="000D167D" w:rsidRDefault="00A12B83" w:rsidP="00A12B83">
      <w:pPr>
        <w:pStyle w:val="1"/>
        <w:spacing w:before="0" w:beforeAutospacing="0" w:after="0" w:afterAutospacing="0" w:line="240" w:lineRule="atLeast"/>
        <w:ind w:left="703" w:hanging="703"/>
        <w:jc w:val="both"/>
        <w:rPr>
          <w:rFonts w:ascii="Times New Roman" w:hAnsi="Times New Roman"/>
          <w:sz w:val="24"/>
          <w:szCs w:val="24"/>
        </w:rPr>
      </w:pPr>
      <w:r w:rsidRPr="000D167D">
        <w:rPr>
          <w:rFonts w:ascii="Times New Roman" w:hAnsi="Times New Roman"/>
          <w:b w:val="0"/>
          <w:sz w:val="24"/>
          <w:szCs w:val="24"/>
        </w:rPr>
        <w:t>(1)</w:t>
      </w:r>
      <w:r w:rsidRPr="000D167D">
        <w:rPr>
          <w:rFonts w:ascii="Times New Roman" w:hAnsi="Times New Roman"/>
          <w:b w:val="0"/>
        </w:rPr>
        <w:tab/>
      </w:r>
      <w:r w:rsidRPr="000D167D">
        <w:rPr>
          <w:rFonts w:ascii="Times New Roman" w:hAnsi="Times New Roman"/>
          <w:b w:val="0"/>
          <w:sz w:val="24"/>
          <w:szCs w:val="24"/>
        </w:rPr>
        <w:t>Дії</w:t>
      </w:r>
      <w:r w:rsidR="00C04B9D">
        <w:rPr>
          <w:rFonts w:ascii="Times New Roman" w:hAnsi="Times New Roman"/>
          <w:b w:val="0"/>
          <w:sz w:val="24"/>
          <w:szCs w:val="24"/>
        </w:rPr>
        <w:t>,</w:t>
      </w:r>
      <w:r w:rsidRPr="000D167D">
        <w:rPr>
          <w:rFonts w:ascii="Times New Roman" w:hAnsi="Times New Roman"/>
          <w:b w:val="0"/>
          <w:sz w:val="24"/>
          <w:szCs w:val="24"/>
        </w:rPr>
        <w:t xml:space="preserve"> вчинені публічним акціонерним товариством «Розрахунковий центр з обслуговування договорів на фінансових ринках» (далі – ПАТ «Розрахунковий центр», Відповідач) мають ознаки порушення законодавства про захист економічної конкуренції, передбаченого пунктом 1 частини другої статті 13, пунктом 2 статті 50 Закону України «Про захист економічної конкуренції», у вигляді зловживання монопольним (домінуючим) становищем на ринку клірингових послуг шляхом встановлення таких цін чи інших умов придбання або реалізації товару, які неможливо було б встановити за умов існування значної конкуренції на ринку.</w:t>
      </w:r>
    </w:p>
    <w:p w:rsidR="00A12B83" w:rsidRPr="000D167D" w:rsidRDefault="00A12B83" w:rsidP="00A12B83">
      <w:pPr>
        <w:spacing w:line="240" w:lineRule="atLeast"/>
        <w:ind w:left="748" w:hanging="748"/>
        <w:jc w:val="both"/>
        <w:rPr>
          <w:rFonts w:ascii="Times New Roman" w:hAnsi="Times New Roman"/>
        </w:rPr>
      </w:pPr>
      <w:r w:rsidRPr="000D167D">
        <w:rPr>
          <w:rFonts w:ascii="Times New Roman" w:hAnsi="Times New Roman"/>
        </w:rPr>
        <w:t>(2)</w:t>
      </w:r>
      <w:r w:rsidRPr="000D167D">
        <w:rPr>
          <w:rFonts w:ascii="Times New Roman" w:hAnsi="Times New Roman"/>
        </w:rPr>
        <w:tab/>
        <w:t>Розгляд справи розпочато за заявами суб’єктів господарювання – професійних учасників ринку цінних паперів (торгівців цінними паперами)</w:t>
      </w:r>
      <w:r w:rsidR="00840E1B">
        <w:rPr>
          <w:rFonts w:ascii="Times New Roman" w:hAnsi="Times New Roman"/>
        </w:rPr>
        <w:t xml:space="preserve"> щодо встановлення необґрунтованої вартості послуг з обслуговування </w:t>
      </w:r>
      <w:r w:rsidR="00840E1B" w:rsidRPr="00840E1B">
        <w:rPr>
          <w:rFonts w:ascii="Times New Roman" w:hAnsi="Times New Roman"/>
        </w:rPr>
        <w:t>клірингового рахунку</w:t>
      </w:r>
      <w:r w:rsidRPr="000D167D">
        <w:rPr>
          <w:rFonts w:ascii="Times New Roman" w:hAnsi="Times New Roman"/>
        </w:rPr>
        <w:t>.</w:t>
      </w:r>
    </w:p>
    <w:p w:rsidR="00A12B83" w:rsidRPr="000D167D" w:rsidRDefault="00A12B83" w:rsidP="00A12B83">
      <w:pPr>
        <w:spacing w:line="240" w:lineRule="atLeast"/>
        <w:ind w:left="748" w:hanging="28"/>
        <w:jc w:val="both"/>
        <w:rPr>
          <w:rFonts w:ascii="Times New Roman" w:hAnsi="Times New Roman"/>
          <w:lang w:eastAsia="uk-UA"/>
        </w:rPr>
      </w:pPr>
    </w:p>
    <w:p w:rsidR="00A12B83" w:rsidRPr="000D167D" w:rsidRDefault="00A12B83" w:rsidP="00A12B83">
      <w:pPr>
        <w:spacing w:line="240" w:lineRule="atLeast"/>
        <w:ind w:hanging="28"/>
        <w:jc w:val="both"/>
        <w:rPr>
          <w:rFonts w:ascii="Times New Roman" w:hAnsi="Times New Roman"/>
          <w:b/>
        </w:rPr>
      </w:pPr>
      <w:r w:rsidRPr="000D167D">
        <w:rPr>
          <w:rFonts w:ascii="Times New Roman" w:hAnsi="Times New Roman"/>
          <w:b/>
        </w:rPr>
        <w:t>2. СТОРОНИ</w:t>
      </w:r>
    </w:p>
    <w:p w:rsidR="00A12B83" w:rsidRPr="000D167D" w:rsidRDefault="00A12B83" w:rsidP="00A12B83">
      <w:pPr>
        <w:spacing w:line="240" w:lineRule="atLeast"/>
        <w:ind w:hanging="28"/>
        <w:jc w:val="both"/>
        <w:rPr>
          <w:rFonts w:ascii="Times New Roman" w:hAnsi="Times New Roman"/>
          <w:b/>
        </w:rPr>
      </w:pPr>
    </w:p>
    <w:p w:rsidR="00A12B83" w:rsidRPr="000D167D" w:rsidRDefault="00A12B83" w:rsidP="00A12B83">
      <w:pPr>
        <w:spacing w:line="240" w:lineRule="atLeast"/>
        <w:ind w:left="709" w:hanging="737"/>
        <w:jc w:val="both"/>
        <w:rPr>
          <w:rFonts w:ascii="Times New Roman" w:hAnsi="Times New Roman"/>
        </w:rPr>
      </w:pPr>
      <w:r w:rsidRPr="000D167D">
        <w:rPr>
          <w:rFonts w:ascii="Times New Roman" w:hAnsi="Times New Roman"/>
        </w:rPr>
        <w:t>(</w:t>
      </w:r>
      <w:r w:rsidR="00B02B9D">
        <w:rPr>
          <w:rFonts w:ascii="Times New Roman" w:hAnsi="Times New Roman"/>
        </w:rPr>
        <w:t>3</w:t>
      </w:r>
      <w:r w:rsidRPr="000D167D">
        <w:rPr>
          <w:rFonts w:ascii="Times New Roman" w:hAnsi="Times New Roman"/>
        </w:rPr>
        <w:t>)</w:t>
      </w:r>
      <w:r w:rsidRPr="000D167D">
        <w:rPr>
          <w:rFonts w:ascii="Times New Roman" w:hAnsi="Times New Roman"/>
        </w:rPr>
        <w:tab/>
        <w:t>Відповідачем у справі є публічне акціонерне товариство «Розрахунковий центр з обслуговування договорів на фінансових ринках» (м. Київ, ідентифікаційний код юридичної особи 35917889, фактична адреса</w:t>
      </w:r>
      <w:r w:rsidR="00AD621F">
        <w:rPr>
          <w:rFonts w:ascii="Times New Roman" w:hAnsi="Times New Roman"/>
        </w:rPr>
        <w:t>:</w:t>
      </w:r>
      <w:r w:rsidRPr="000D167D">
        <w:rPr>
          <w:rFonts w:ascii="Times New Roman" w:hAnsi="Times New Roman"/>
        </w:rPr>
        <w:t xml:space="preserve"> м. Київ, вул. Тропініна</w:t>
      </w:r>
      <w:r w:rsidR="00AD621F">
        <w:rPr>
          <w:rFonts w:ascii="Times New Roman" w:hAnsi="Times New Roman"/>
        </w:rPr>
        <w:t>,</w:t>
      </w:r>
      <w:r w:rsidRPr="000D167D">
        <w:rPr>
          <w:rFonts w:ascii="Times New Roman" w:hAnsi="Times New Roman"/>
        </w:rPr>
        <w:t xml:space="preserve"> 7-г).</w:t>
      </w:r>
    </w:p>
    <w:p w:rsidR="00A12B83" w:rsidRPr="000D167D" w:rsidRDefault="00B02B9D" w:rsidP="00A12B83">
      <w:pPr>
        <w:spacing w:line="240" w:lineRule="atLeast"/>
        <w:ind w:left="709" w:hanging="737"/>
        <w:jc w:val="both"/>
        <w:rPr>
          <w:rFonts w:ascii="Times New Roman" w:hAnsi="Times New Roman"/>
        </w:rPr>
      </w:pPr>
      <w:r>
        <w:rPr>
          <w:rFonts w:ascii="Times New Roman" w:hAnsi="Times New Roman"/>
        </w:rPr>
        <w:t>(4</w:t>
      </w:r>
      <w:r w:rsidR="00A12B83" w:rsidRPr="000D167D">
        <w:rPr>
          <w:rFonts w:ascii="Times New Roman" w:hAnsi="Times New Roman"/>
        </w:rPr>
        <w:t>)</w:t>
      </w:r>
      <w:r w:rsidR="00A12B83" w:rsidRPr="000D167D">
        <w:rPr>
          <w:rFonts w:ascii="Times New Roman" w:hAnsi="Times New Roman"/>
        </w:rPr>
        <w:tab/>
        <w:t>ПАТ «Розрахунковий центр» є юридичною особою, має самостійний баланс, розрахунковий рахунок, надає послуги з обслуговування договорів купівлі-продажу цінних паперів та/або інших фінансових інструментів, має ліцензії на право здійснення банківських послуг, на провадження професійної діяльності на фондовому ринку – клірингової діяльності та свідоцтво учасника фонду гарантування вкладів фізичних осіб.</w:t>
      </w:r>
    </w:p>
    <w:p w:rsidR="00A12B83" w:rsidRPr="000D167D" w:rsidRDefault="00B02B9D" w:rsidP="00A12B83">
      <w:pPr>
        <w:spacing w:line="240" w:lineRule="atLeast"/>
        <w:ind w:left="709" w:hanging="737"/>
        <w:jc w:val="both"/>
        <w:rPr>
          <w:rFonts w:ascii="Times New Roman" w:hAnsi="Times New Roman"/>
        </w:rPr>
      </w:pPr>
      <w:r>
        <w:rPr>
          <w:rFonts w:ascii="Times New Roman" w:hAnsi="Times New Roman"/>
        </w:rPr>
        <w:t>(5</w:t>
      </w:r>
      <w:r w:rsidR="00A12B83" w:rsidRPr="000D167D">
        <w:rPr>
          <w:rFonts w:ascii="Times New Roman" w:hAnsi="Times New Roman"/>
        </w:rPr>
        <w:t>)</w:t>
      </w:r>
      <w:r w:rsidR="00A12B83" w:rsidRPr="000D167D">
        <w:rPr>
          <w:rFonts w:ascii="Times New Roman" w:hAnsi="Times New Roman"/>
        </w:rPr>
        <w:tab/>
        <w:t xml:space="preserve">Заявниками у справі є суб’єкти господарювання – професійні учасники ринку цінних паперів (торгівці цінними паперами): товариство з обмеженою відповідальністю «Фінансова компанія «КУБ» </w:t>
      </w:r>
      <w:r w:rsidR="00142E80" w:rsidRPr="000D167D">
        <w:rPr>
          <w:rFonts w:ascii="Times New Roman" w:hAnsi="Times New Roman"/>
        </w:rPr>
        <w:t xml:space="preserve">(далі – ТОВ «ФК «КУБ») </w:t>
      </w:r>
      <w:r w:rsidR="00A12B83" w:rsidRPr="000D167D">
        <w:rPr>
          <w:rFonts w:ascii="Times New Roman" w:hAnsi="Times New Roman"/>
        </w:rPr>
        <w:t>(ідентифікаційний код юридичної особи 32999754, м</w:t>
      </w:r>
      <w:r w:rsidR="00AD621F" w:rsidRPr="000D167D">
        <w:rPr>
          <w:rFonts w:ascii="Times New Roman" w:hAnsi="Times New Roman"/>
        </w:rPr>
        <w:t>.</w:t>
      </w:r>
      <w:r w:rsidR="00AD621F">
        <w:rPr>
          <w:rFonts w:ascii="Times New Roman" w:hAnsi="Times New Roman"/>
        </w:rPr>
        <w:t> </w:t>
      </w:r>
      <w:r w:rsidR="00A12B83" w:rsidRPr="000D167D">
        <w:rPr>
          <w:rFonts w:ascii="Times New Roman" w:hAnsi="Times New Roman"/>
        </w:rPr>
        <w:t xml:space="preserve">Київ, вул. </w:t>
      </w:r>
      <w:proofErr w:type="spellStart"/>
      <w:r w:rsidR="00A12B83" w:rsidRPr="000D167D">
        <w:rPr>
          <w:rFonts w:ascii="Times New Roman" w:hAnsi="Times New Roman"/>
        </w:rPr>
        <w:t>Камишинська</w:t>
      </w:r>
      <w:proofErr w:type="spellEnd"/>
      <w:r w:rsidR="00A12B83" w:rsidRPr="000D167D">
        <w:rPr>
          <w:rFonts w:ascii="Times New Roman" w:hAnsi="Times New Roman"/>
        </w:rPr>
        <w:t xml:space="preserve">, 4, </w:t>
      </w:r>
      <w:proofErr w:type="spellStart"/>
      <w:r w:rsidR="00A12B83" w:rsidRPr="000D167D">
        <w:rPr>
          <w:rFonts w:ascii="Times New Roman" w:hAnsi="Times New Roman"/>
        </w:rPr>
        <w:t>оф</w:t>
      </w:r>
      <w:proofErr w:type="spellEnd"/>
      <w:r w:rsidR="00A12B83" w:rsidRPr="000D167D">
        <w:rPr>
          <w:rFonts w:ascii="Times New Roman" w:hAnsi="Times New Roman"/>
        </w:rPr>
        <w:t>.</w:t>
      </w:r>
      <w:r w:rsidR="00142E80">
        <w:rPr>
          <w:rFonts w:ascii="Times New Roman" w:hAnsi="Times New Roman"/>
        </w:rPr>
        <w:t xml:space="preserve"> </w:t>
      </w:r>
      <w:r w:rsidR="00A12B83" w:rsidRPr="000D167D">
        <w:rPr>
          <w:rFonts w:ascii="Times New Roman" w:hAnsi="Times New Roman"/>
        </w:rPr>
        <w:t xml:space="preserve">11), товариство з обмеженою відповідальністю «Акцептор» </w:t>
      </w:r>
      <w:r w:rsidR="00AD621F" w:rsidRPr="000D167D">
        <w:rPr>
          <w:rFonts w:ascii="Times New Roman" w:hAnsi="Times New Roman"/>
        </w:rPr>
        <w:t>(далі –</w:t>
      </w:r>
      <w:r w:rsidR="00AD621F">
        <w:rPr>
          <w:rFonts w:ascii="Times New Roman" w:hAnsi="Times New Roman"/>
        </w:rPr>
        <w:t xml:space="preserve"> </w:t>
      </w:r>
      <w:r w:rsidR="00AD621F" w:rsidRPr="000D167D">
        <w:rPr>
          <w:rFonts w:ascii="Times New Roman" w:hAnsi="Times New Roman"/>
        </w:rPr>
        <w:t xml:space="preserve">ТОВ «Акцептор») </w:t>
      </w:r>
      <w:r w:rsidR="00A12B83" w:rsidRPr="000D167D">
        <w:rPr>
          <w:rFonts w:ascii="Times New Roman" w:hAnsi="Times New Roman"/>
        </w:rPr>
        <w:t>(ідентифікаційний код юридичної особи 31152642, м. Харків, вул. Мельникова, буд. 2, оф. 87), товариство з обмеженою відповідальністю «</w:t>
      </w:r>
      <w:proofErr w:type="spellStart"/>
      <w:r w:rsidR="00A12B83" w:rsidRPr="000D167D">
        <w:rPr>
          <w:rFonts w:ascii="Times New Roman" w:hAnsi="Times New Roman"/>
        </w:rPr>
        <w:t>Навігатор-Інвест</w:t>
      </w:r>
      <w:proofErr w:type="spellEnd"/>
      <w:r w:rsidR="00A12B83" w:rsidRPr="000D167D">
        <w:rPr>
          <w:rFonts w:ascii="Times New Roman" w:hAnsi="Times New Roman"/>
        </w:rPr>
        <w:t xml:space="preserve">» </w:t>
      </w:r>
      <w:r w:rsidR="00431F5A" w:rsidRPr="000D167D">
        <w:rPr>
          <w:rFonts w:ascii="Times New Roman" w:hAnsi="Times New Roman"/>
        </w:rPr>
        <w:t xml:space="preserve">(далі – </w:t>
      </w:r>
      <w:r w:rsidR="00431F5A" w:rsidRPr="000D167D">
        <w:rPr>
          <w:rFonts w:ascii="Times New Roman" w:hAnsi="Times New Roman"/>
        </w:rPr>
        <w:lastRenderedPageBreak/>
        <w:t>Т</w:t>
      </w:r>
      <w:proofErr w:type="spellStart"/>
      <w:r w:rsidR="00431F5A" w:rsidRPr="000D167D">
        <w:rPr>
          <w:rFonts w:ascii="Times New Roman" w:hAnsi="Times New Roman"/>
        </w:rPr>
        <w:t>ОВ</w:t>
      </w:r>
      <w:r w:rsidR="00431F5A">
        <w:rPr>
          <w:rFonts w:ascii="Times New Roman" w:hAnsi="Times New Roman"/>
        </w:rPr>
        <w:t> </w:t>
      </w:r>
      <w:r w:rsidR="00431F5A" w:rsidRPr="000D167D">
        <w:rPr>
          <w:rFonts w:ascii="Times New Roman" w:hAnsi="Times New Roman"/>
        </w:rPr>
        <w:t>«Навігатор-Ін</w:t>
      </w:r>
      <w:proofErr w:type="spellEnd"/>
      <w:r w:rsidR="00431F5A" w:rsidRPr="000D167D">
        <w:rPr>
          <w:rFonts w:ascii="Times New Roman" w:hAnsi="Times New Roman"/>
        </w:rPr>
        <w:t xml:space="preserve">вест») </w:t>
      </w:r>
      <w:r w:rsidR="00A12B83" w:rsidRPr="000D167D">
        <w:rPr>
          <w:rFonts w:ascii="Times New Roman" w:hAnsi="Times New Roman"/>
        </w:rPr>
        <w:t>(ідентифікаційний код юридичної особи 25270172, м. Київ, вул. Саксаганського</w:t>
      </w:r>
      <w:r w:rsidR="00431F5A">
        <w:rPr>
          <w:rFonts w:ascii="Times New Roman" w:hAnsi="Times New Roman"/>
        </w:rPr>
        <w:t>,</w:t>
      </w:r>
      <w:r w:rsidR="00A12B83" w:rsidRPr="000D167D">
        <w:rPr>
          <w:rFonts w:ascii="Times New Roman" w:hAnsi="Times New Roman"/>
        </w:rPr>
        <w:t xml:space="preserve"> 119, оф.</w:t>
      </w:r>
      <w:r w:rsidR="00431F5A">
        <w:rPr>
          <w:rFonts w:ascii="Times New Roman" w:hAnsi="Times New Roman"/>
        </w:rPr>
        <w:t xml:space="preserve"> </w:t>
      </w:r>
      <w:r w:rsidR="00A12B83" w:rsidRPr="000D167D">
        <w:rPr>
          <w:rFonts w:ascii="Times New Roman" w:hAnsi="Times New Roman"/>
        </w:rPr>
        <w:t xml:space="preserve">5), приватне акціонерне товариство «Інвестиційна фінансова компанія «Арт Капітал» </w:t>
      </w:r>
      <w:r w:rsidR="00431F5A" w:rsidRPr="000D167D">
        <w:rPr>
          <w:rFonts w:ascii="Times New Roman" w:hAnsi="Times New Roman"/>
        </w:rPr>
        <w:t xml:space="preserve">(далі – ПрАТ «ІФК «АРТ КАПІТАЛ») </w:t>
      </w:r>
      <w:r w:rsidR="00A12B83" w:rsidRPr="000D167D">
        <w:rPr>
          <w:rFonts w:ascii="Times New Roman" w:hAnsi="Times New Roman"/>
        </w:rPr>
        <w:t>(ідентифікаційний код юридичної особи 33308667, м. Київ, вул. Народного ополчення</w:t>
      </w:r>
      <w:r w:rsidR="00431F5A">
        <w:rPr>
          <w:rFonts w:ascii="Times New Roman" w:hAnsi="Times New Roman"/>
        </w:rPr>
        <w:t>,</w:t>
      </w:r>
      <w:r w:rsidR="00A12B83" w:rsidRPr="000D167D">
        <w:rPr>
          <w:rFonts w:ascii="Times New Roman" w:hAnsi="Times New Roman"/>
        </w:rPr>
        <w:t xml:space="preserve"> 1) і товариство з обмеженою відповідальністю «Сократ» </w:t>
      </w:r>
      <w:r w:rsidR="00431F5A" w:rsidRPr="000D167D">
        <w:rPr>
          <w:rFonts w:ascii="Times New Roman" w:hAnsi="Times New Roman"/>
        </w:rPr>
        <w:t xml:space="preserve">(далі – ТОВ «Сократ») </w:t>
      </w:r>
      <w:r w:rsidR="00A12B83" w:rsidRPr="000D167D">
        <w:rPr>
          <w:rFonts w:ascii="Times New Roman" w:hAnsi="Times New Roman"/>
        </w:rPr>
        <w:t xml:space="preserve">(ідентифікаційний код юридичної особи 32109383, м. Київ, вул. </w:t>
      </w:r>
      <w:proofErr w:type="spellStart"/>
      <w:r w:rsidR="00A12B83" w:rsidRPr="000D167D">
        <w:rPr>
          <w:rFonts w:ascii="Times New Roman" w:hAnsi="Times New Roman"/>
        </w:rPr>
        <w:t>Почайнинська</w:t>
      </w:r>
      <w:proofErr w:type="spellEnd"/>
      <w:r w:rsidR="00431F5A">
        <w:rPr>
          <w:rFonts w:ascii="Times New Roman" w:hAnsi="Times New Roman"/>
        </w:rPr>
        <w:t>,</w:t>
      </w:r>
      <w:r w:rsidR="00A12B83" w:rsidRPr="000D167D">
        <w:rPr>
          <w:rFonts w:ascii="Times New Roman" w:hAnsi="Times New Roman"/>
        </w:rPr>
        <w:t xml:space="preserve"> 70, </w:t>
      </w:r>
      <w:proofErr w:type="spellStart"/>
      <w:r w:rsidR="00A12B83" w:rsidRPr="000D167D">
        <w:rPr>
          <w:rFonts w:ascii="Times New Roman" w:hAnsi="Times New Roman"/>
        </w:rPr>
        <w:t>оф</w:t>
      </w:r>
      <w:proofErr w:type="spellEnd"/>
      <w:r w:rsidR="00431F5A" w:rsidRPr="000D167D">
        <w:rPr>
          <w:rFonts w:ascii="Times New Roman" w:hAnsi="Times New Roman"/>
        </w:rPr>
        <w:t>.</w:t>
      </w:r>
      <w:r w:rsidR="00431F5A">
        <w:rPr>
          <w:rFonts w:ascii="Times New Roman" w:hAnsi="Times New Roman"/>
        </w:rPr>
        <w:t> </w:t>
      </w:r>
      <w:r w:rsidR="00A12B83" w:rsidRPr="000D167D">
        <w:rPr>
          <w:rFonts w:ascii="Times New Roman" w:hAnsi="Times New Roman"/>
        </w:rPr>
        <w:t>65) (далі – Заявники у справі).</w:t>
      </w:r>
    </w:p>
    <w:p w:rsidR="00A12B83" w:rsidRPr="000D167D" w:rsidRDefault="00A12B83" w:rsidP="00A12B83">
      <w:pPr>
        <w:spacing w:line="240" w:lineRule="atLeast"/>
        <w:ind w:left="709" w:hanging="737"/>
        <w:jc w:val="both"/>
        <w:rPr>
          <w:rFonts w:ascii="Times New Roman" w:hAnsi="Times New Roman"/>
        </w:rPr>
      </w:pPr>
    </w:p>
    <w:p w:rsidR="00A12B83" w:rsidRPr="000D167D" w:rsidRDefault="00A12B83" w:rsidP="00A12B83">
      <w:pPr>
        <w:spacing w:line="240" w:lineRule="atLeast"/>
        <w:ind w:hanging="28"/>
        <w:jc w:val="both"/>
        <w:rPr>
          <w:rFonts w:ascii="Times New Roman" w:hAnsi="Times New Roman"/>
          <w:b/>
        </w:rPr>
      </w:pPr>
      <w:r w:rsidRPr="000D167D">
        <w:rPr>
          <w:rFonts w:ascii="Times New Roman" w:hAnsi="Times New Roman"/>
          <w:b/>
        </w:rPr>
        <w:t>3. ПРОЦЕСУАЛЬНІ ДІЇ</w:t>
      </w:r>
    </w:p>
    <w:p w:rsidR="00A12B83" w:rsidRPr="000D167D" w:rsidRDefault="00A12B83" w:rsidP="00A12B83">
      <w:pPr>
        <w:spacing w:line="240" w:lineRule="atLeast"/>
        <w:ind w:hanging="28"/>
        <w:jc w:val="both"/>
        <w:rPr>
          <w:rFonts w:ascii="Times New Roman" w:hAnsi="Times New Roman"/>
          <w:b/>
        </w:rPr>
      </w:pPr>
    </w:p>
    <w:p w:rsidR="00A12B83" w:rsidRPr="000D167D" w:rsidRDefault="00B02B9D" w:rsidP="00A12B83">
      <w:pPr>
        <w:spacing w:line="240" w:lineRule="atLeast"/>
        <w:ind w:left="709" w:hanging="737"/>
        <w:jc w:val="both"/>
        <w:rPr>
          <w:rFonts w:ascii="Times New Roman" w:hAnsi="Times New Roman"/>
        </w:rPr>
      </w:pPr>
      <w:r>
        <w:rPr>
          <w:rFonts w:ascii="Times New Roman" w:hAnsi="Times New Roman"/>
        </w:rPr>
        <w:t>(6</w:t>
      </w:r>
      <w:r w:rsidR="00A12B83" w:rsidRPr="000D167D">
        <w:rPr>
          <w:rFonts w:ascii="Times New Roman" w:hAnsi="Times New Roman"/>
        </w:rPr>
        <w:t>)</w:t>
      </w:r>
      <w:r w:rsidR="00A12B83" w:rsidRPr="000D167D">
        <w:rPr>
          <w:rFonts w:ascii="Times New Roman" w:hAnsi="Times New Roman"/>
        </w:rPr>
        <w:tab/>
        <w:t>За результатами розгляду заяв ТОВ «ФК «КУБ» (вх. № 8-01/55-АМ від 24.03.2016) і ТОВ «Акцептор» (вх. № 8-01/80-АМ від 25.04.2016) прийнято розпорядження державного уповноваженого Антимонопольного комітету України (далі – Комітет) від 21.06.2016 № 05/159-р про початок розгляду справи про порушення законодавства про захист економічної конкуренції № 130-26.13/107-16.</w:t>
      </w:r>
    </w:p>
    <w:p w:rsidR="00A12B83" w:rsidRPr="000D167D" w:rsidRDefault="00B02B9D" w:rsidP="00A12B83">
      <w:pPr>
        <w:spacing w:line="240" w:lineRule="atLeast"/>
        <w:ind w:left="709" w:hanging="737"/>
        <w:jc w:val="both"/>
        <w:rPr>
          <w:rFonts w:ascii="Times New Roman" w:hAnsi="Times New Roman"/>
        </w:rPr>
      </w:pPr>
      <w:r>
        <w:rPr>
          <w:rFonts w:ascii="Times New Roman" w:hAnsi="Times New Roman"/>
        </w:rPr>
        <w:t>(7</w:t>
      </w:r>
      <w:r w:rsidR="00A12B83" w:rsidRPr="000D167D">
        <w:rPr>
          <w:rFonts w:ascii="Times New Roman" w:hAnsi="Times New Roman"/>
        </w:rPr>
        <w:t>)</w:t>
      </w:r>
      <w:r w:rsidR="00A12B83" w:rsidRPr="000D167D">
        <w:rPr>
          <w:rFonts w:ascii="Times New Roman" w:hAnsi="Times New Roman"/>
        </w:rPr>
        <w:tab/>
        <w:t>За результатами розгляду заяв ТОВ «</w:t>
      </w:r>
      <w:proofErr w:type="spellStart"/>
      <w:r w:rsidR="00A12B83" w:rsidRPr="000D167D">
        <w:rPr>
          <w:rFonts w:ascii="Times New Roman" w:hAnsi="Times New Roman"/>
        </w:rPr>
        <w:t>Навігатор-Інвест</w:t>
      </w:r>
      <w:proofErr w:type="spellEnd"/>
      <w:r w:rsidR="00A12B83" w:rsidRPr="000D167D">
        <w:rPr>
          <w:rFonts w:ascii="Times New Roman" w:hAnsi="Times New Roman"/>
        </w:rPr>
        <w:t>» (вх. № 8-01/203-АМ від 01.06.2018), ПрАТ «ІФК «АРТ КАПІТАЛ» (вх. № 8-01/204-АМ від 01.06.2018) і                     ТОВ «Сократ» (вх. № 8-01/205-АМ від 01.06.2018) прийнято розпорядження державного уповноваженого Комітету від 25.06.2018 № 05/116-р про приєднання заяв до справи № 130-26.13/107-16.</w:t>
      </w:r>
    </w:p>
    <w:p w:rsidR="00A12B83" w:rsidRPr="000D167D" w:rsidRDefault="00B02B9D" w:rsidP="00A12B83">
      <w:pPr>
        <w:spacing w:line="240" w:lineRule="atLeast"/>
        <w:ind w:left="709" w:hanging="737"/>
        <w:jc w:val="both"/>
        <w:rPr>
          <w:rFonts w:ascii="Times New Roman" w:hAnsi="Times New Roman"/>
        </w:rPr>
      </w:pPr>
      <w:r>
        <w:rPr>
          <w:rFonts w:ascii="Times New Roman" w:hAnsi="Times New Roman"/>
        </w:rPr>
        <w:t>(8</w:t>
      </w:r>
      <w:r w:rsidR="00A12B83" w:rsidRPr="000D167D">
        <w:rPr>
          <w:rFonts w:ascii="Times New Roman" w:hAnsi="Times New Roman"/>
        </w:rPr>
        <w:t>)</w:t>
      </w:r>
      <w:r w:rsidR="00A12B83" w:rsidRPr="000D167D">
        <w:rPr>
          <w:rFonts w:ascii="Times New Roman" w:hAnsi="Times New Roman"/>
        </w:rPr>
        <w:tab/>
        <w:t>За результатами збирання та аналізу доказів у справі, з метою припинення дій, які містять ознаки порушення законодавства про захист економічної конкуренції, усунення причин виникнення цих порушень і умов, що їм сприяють, Комітетом надані рекомендації ПАТ «Розрахунковий центр» від 25.07.2019 № 52-рк (далі — Рекомендації).</w:t>
      </w:r>
    </w:p>
    <w:p w:rsidR="00A12B83" w:rsidRPr="000D167D" w:rsidRDefault="00A12B83" w:rsidP="00A12B83">
      <w:pPr>
        <w:spacing w:line="240" w:lineRule="atLeast"/>
        <w:ind w:left="748" w:hanging="28"/>
        <w:jc w:val="both"/>
        <w:rPr>
          <w:rFonts w:ascii="Times New Roman" w:hAnsi="Times New Roman"/>
          <w:lang w:eastAsia="uk-UA"/>
        </w:rPr>
      </w:pPr>
    </w:p>
    <w:p w:rsidR="00A12B83" w:rsidRPr="000D167D" w:rsidRDefault="00A12B83" w:rsidP="00A12B83">
      <w:pPr>
        <w:spacing w:line="240" w:lineRule="atLeast"/>
        <w:ind w:left="284" w:hanging="284"/>
        <w:jc w:val="both"/>
        <w:rPr>
          <w:rFonts w:ascii="Times New Roman" w:hAnsi="Times New Roman"/>
          <w:b/>
        </w:rPr>
      </w:pPr>
      <w:r w:rsidRPr="000D167D">
        <w:rPr>
          <w:rFonts w:ascii="Times New Roman" w:hAnsi="Times New Roman"/>
          <w:b/>
        </w:rPr>
        <w:t>4. НОРМАТИВНО-ПРАВОВЕ РЕГУЛЮВАННЯ ПИТАННЯ НАДАННЯ ПОСЛУГ ІЗ КЛІРИНГОВОГО ОБСЛУГОВУВАННЯ НА ФОНДОВОМУ РИНКУ</w:t>
      </w:r>
    </w:p>
    <w:p w:rsidR="00A12B83" w:rsidRPr="000D167D" w:rsidRDefault="00A12B83" w:rsidP="00A12B83">
      <w:pPr>
        <w:spacing w:line="240" w:lineRule="atLeast"/>
        <w:ind w:left="284" w:hanging="284"/>
        <w:jc w:val="both"/>
        <w:rPr>
          <w:rFonts w:ascii="Times New Roman" w:hAnsi="Times New Roman"/>
        </w:rPr>
      </w:pPr>
    </w:p>
    <w:p w:rsidR="00A12B83" w:rsidRPr="000D167D" w:rsidRDefault="00B02B9D" w:rsidP="00A12B83">
      <w:pPr>
        <w:overflowPunct w:val="0"/>
        <w:autoSpaceDE w:val="0"/>
        <w:spacing w:line="240" w:lineRule="atLeast"/>
        <w:ind w:left="709" w:hanging="709"/>
        <w:jc w:val="both"/>
        <w:textAlignment w:val="baseline"/>
        <w:rPr>
          <w:rFonts w:ascii="Times New Roman" w:hAnsi="Times New Roman"/>
        </w:rPr>
      </w:pPr>
      <w:r>
        <w:rPr>
          <w:rFonts w:ascii="Times New Roman" w:hAnsi="Times New Roman"/>
        </w:rPr>
        <w:t>(9</w:t>
      </w:r>
      <w:r w:rsidR="00A12B83" w:rsidRPr="000D167D">
        <w:rPr>
          <w:rFonts w:ascii="Times New Roman" w:hAnsi="Times New Roman"/>
        </w:rPr>
        <w:t>)</w:t>
      </w:r>
      <w:r w:rsidR="00A12B83" w:rsidRPr="000D167D">
        <w:rPr>
          <w:rFonts w:ascii="Times New Roman" w:hAnsi="Times New Roman"/>
        </w:rPr>
        <w:tab/>
        <w:t>Відповідно до інформації, наданої Національною комісією з цінних паперів та фондового ринку (далі – Комісія):</w:t>
      </w:r>
    </w:p>
    <w:p w:rsidR="00A12B83" w:rsidRPr="000D167D" w:rsidRDefault="00A12B83" w:rsidP="00A12B83">
      <w:pPr>
        <w:overflowPunct w:val="0"/>
        <w:autoSpaceDE w:val="0"/>
        <w:spacing w:line="240" w:lineRule="atLeast"/>
        <w:ind w:left="709" w:hanging="709"/>
        <w:jc w:val="both"/>
        <w:textAlignment w:val="baseline"/>
        <w:rPr>
          <w:rFonts w:ascii="Times New Roman" w:hAnsi="Times New Roman"/>
        </w:rPr>
      </w:pPr>
      <w:r w:rsidRPr="000D167D">
        <w:rPr>
          <w:rFonts w:ascii="Times New Roman" w:hAnsi="Times New Roman"/>
        </w:rPr>
        <w:tab/>
        <w:t xml:space="preserve">- професійна діяльність на фондовому ринку здійснюється виключно на підставі ліцензії, </w:t>
      </w:r>
      <w:r w:rsidR="00F93C4C">
        <w:rPr>
          <w:rFonts w:ascii="Times New Roman" w:hAnsi="Times New Roman"/>
        </w:rPr>
        <w:t>яку</w:t>
      </w:r>
      <w:r w:rsidRPr="000D167D">
        <w:rPr>
          <w:rFonts w:ascii="Times New Roman" w:hAnsi="Times New Roman"/>
        </w:rPr>
        <w:t xml:space="preserve"> видає Комісі</w:t>
      </w:r>
      <w:r w:rsidR="00F93C4C">
        <w:rPr>
          <w:rFonts w:ascii="Times New Roman" w:hAnsi="Times New Roman"/>
        </w:rPr>
        <w:t>я</w:t>
      </w:r>
      <w:r w:rsidRPr="000D167D">
        <w:rPr>
          <w:rFonts w:ascii="Times New Roman" w:hAnsi="Times New Roman"/>
        </w:rPr>
        <w:t xml:space="preserve"> (крім професійної діяльності Центрального депозитарію цінних паперів та депозитарної діяльності Національного банку України);</w:t>
      </w:r>
    </w:p>
    <w:p w:rsidR="00A12B83" w:rsidRPr="000D167D" w:rsidRDefault="00A12B83" w:rsidP="00A12B83">
      <w:pPr>
        <w:overflowPunct w:val="0"/>
        <w:autoSpaceDE w:val="0"/>
        <w:spacing w:line="240" w:lineRule="atLeast"/>
        <w:ind w:left="709" w:hanging="709"/>
        <w:jc w:val="both"/>
        <w:textAlignment w:val="baseline"/>
        <w:rPr>
          <w:rFonts w:ascii="Times New Roman" w:hAnsi="Times New Roman"/>
        </w:rPr>
      </w:pPr>
      <w:r w:rsidRPr="000D167D">
        <w:rPr>
          <w:rFonts w:ascii="Times New Roman" w:hAnsi="Times New Roman"/>
        </w:rPr>
        <w:tab/>
        <w:t>- до видів професійної діяльності на фондовому ринку, зокрема, належить клірингова діяльність;</w:t>
      </w:r>
    </w:p>
    <w:p w:rsidR="00A12B83" w:rsidRPr="000D167D" w:rsidRDefault="00A12B83" w:rsidP="00A12B83">
      <w:pPr>
        <w:overflowPunct w:val="0"/>
        <w:autoSpaceDE w:val="0"/>
        <w:spacing w:line="240" w:lineRule="atLeast"/>
        <w:ind w:left="709" w:hanging="709"/>
        <w:jc w:val="both"/>
        <w:textAlignment w:val="baseline"/>
        <w:rPr>
          <w:rFonts w:ascii="Times New Roman" w:hAnsi="Times New Roman"/>
        </w:rPr>
      </w:pPr>
      <w:r w:rsidRPr="000D167D">
        <w:rPr>
          <w:rFonts w:ascii="Times New Roman" w:hAnsi="Times New Roman"/>
        </w:rPr>
        <w:t>(1</w:t>
      </w:r>
      <w:r w:rsidR="00B02B9D">
        <w:rPr>
          <w:rFonts w:ascii="Times New Roman" w:hAnsi="Times New Roman"/>
        </w:rPr>
        <w:t>0</w:t>
      </w:r>
      <w:r w:rsidRPr="000D167D">
        <w:rPr>
          <w:rFonts w:ascii="Times New Roman" w:hAnsi="Times New Roman"/>
        </w:rPr>
        <w:t>)</w:t>
      </w:r>
      <w:r w:rsidRPr="000D167D">
        <w:rPr>
          <w:rFonts w:ascii="Times New Roman" w:hAnsi="Times New Roman"/>
        </w:rPr>
        <w:tab/>
        <w:t>Статтею 19</w:t>
      </w:r>
      <w:r w:rsidRPr="000D167D">
        <w:rPr>
          <w:rFonts w:ascii="Times New Roman" w:hAnsi="Times New Roman"/>
          <w:vertAlign w:val="superscript"/>
        </w:rPr>
        <w:t>1</w:t>
      </w:r>
      <w:r w:rsidRPr="000D167D">
        <w:rPr>
          <w:rFonts w:ascii="Times New Roman" w:hAnsi="Times New Roman"/>
        </w:rPr>
        <w:t xml:space="preserve"> Закону України «Про цінні папери та фондовий ринок» визначено, що клірингова діяльність – це діяльність з визначення зобов’язань, що підлягають виконанню за правочинами щодо цінних паперів та інших фінансових інструментів, підготовка документів (інформації) для проведення розрахунків, а також створення системи гарантій з виконання зобов’язань за правочинами щодо цінних паперів та інших фінансових інструментів. Особами, які провадять клірингову діяльність, є клірингові установи та Розрахунковий центр з обслуговування договорів на фінансових ринках. Центральний депозитарій цінних паперів та Національний банк України можуть проводити клірингову діяльність з урахуванням вимог, встановлених законодавством.</w:t>
      </w:r>
    </w:p>
    <w:p w:rsidR="00A12B83" w:rsidRPr="000D167D" w:rsidRDefault="00B02B9D" w:rsidP="00A12B83">
      <w:pPr>
        <w:overflowPunct w:val="0"/>
        <w:autoSpaceDE w:val="0"/>
        <w:spacing w:line="240" w:lineRule="atLeast"/>
        <w:ind w:left="709" w:hanging="709"/>
        <w:jc w:val="both"/>
        <w:textAlignment w:val="baseline"/>
        <w:rPr>
          <w:rFonts w:ascii="Times New Roman" w:hAnsi="Times New Roman"/>
        </w:rPr>
      </w:pPr>
      <w:r>
        <w:rPr>
          <w:rFonts w:ascii="Times New Roman" w:hAnsi="Times New Roman"/>
        </w:rPr>
        <w:t>(11</w:t>
      </w:r>
      <w:r w:rsidR="00A12B83" w:rsidRPr="000D167D">
        <w:rPr>
          <w:rFonts w:ascii="Times New Roman" w:hAnsi="Times New Roman"/>
        </w:rPr>
        <w:t xml:space="preserve">) </w:t>
      </w:r>
      <w:r w:rsidR="00A12B83" w:rsidRPr="000D167D">
        <w:rPr>
          <w:rFonts w:ascii="Times New Roman" w:hAnsi="Times New Roman"/>
        </w:rPr>
        <w:tab/>
        <w:t>Частиною другою статті 19</w:t>
      </w:r>
      <w:r w:rsidR="00A12B83" w:rsidRPr="000D167D">
        <w:rPr>
          <w:rFonts w:ascii="Times New Roman" w:hAnsi="Times New Roman"/>
          <w:vertAlign w:val="superscript"/>
        </w:rPr>
        <w:t>3</w:t>
      </w:r>
      <w:r w:rsidR="00A12B83" w:rsidRPr="000D167D">
        <w:rPr>
          <w:rFonts w:ascii="Times New Roman" w:hAnsi="Times New Roman"/>
        </w:rPr>
        <w:t xml:space="preserve"> Закону України «Про цінні папери та фондовий ринок» визначено, що клірингова діяльність є виключним видом професійної діяльності на ринку цінних паперів, крім її поєднання у встановленому законом випадку за умови провадження таких видів діяльності окремими структурними підрозділами.</w:t>
      </w:r>
    </w:p>
    <w:p w:rsidR="00A12B83" w:rsidRPr="000D167D" w:rsidRDefault="00B02B9D" w:rsidP="00A12B83">
      <w:pPr>
        <w:overflowPunct w:val="0"/>
        <w:autoSpaceDE w:val="0"/>
        <w:spacing w:line="240" w:lineRule="atLeast"/>
        <w:ind w:left="709" w:hanging="709"/>
        <w:jc w:val="both"/>
        <w:textAlignment w:val="baseline"/>
        <w:rPr>
          <w:rFonts w:ascii="Times New Roman" w:hAnsi="Times New Roman"/>
        </w:rPr>
      </w:pPr>
      <w:r>
        <w:rPr>
          <w:rFonts w:ascii="Times New Roman" w:hAnsi="Times New Roman"/>
        </w:rPr>
        <w:t>(12</w:t>
      </w:r>
      <w:r w:rsidR="00A12B83" w:rsidRPr="000D167D">
        <w:rPr>
          <w:rFonts w:ascii="Times New Roman" w:hAnsi="Times New Roman"/>
        </w:rPr>
        <w:t>)</w:t>
      </w:r>
      <w:r w:rsidR="00A12B83" w:rsidRPr="000D167D">
        <w:rPr>
          <w:rFonts w:ascii="Times New Roman" w:hAnsi="Times New Roman"/>
        </w:rPr>
        <w:tab/>
        <w:t xml:space="preserve">ПАТ «Розрахунковий центр» здійснює клірингову діяльність відповідно до «Правил клірингу публічного акціонерного товариства «Розрахунковий центр з обслуговування договорів на фінансових ринках» (далі – Правила клірингу), які викладено </w:t>
      </w:r>
      <w:r w:rsidR="0074390C">
        <w:rPr>
          <w:rFonts w:ascii="Times New Roman" w:hAnsi="Times New Roman"/>
        </w:rPr>
        <w:t>в</w:t>
      </w:r>
      <w:r w:rsidR="0074390C" w:rsidRPr="000D167D">
        <w:rPr>
          <w:rFonts w:ascii="Times New Roman" w:hAnsi="Times New Roman"/>
        </w:rPr>
        <w:t xml:space="preserve"> </w:t>
      </w:r>
      <w:r w:rsidR="00A12B83" w:rsidRPr="000D167D">
        <w:rPr>
          <w:rFonts w:ascii="Times New Roman" w:hAnsi="Times New Roman"/>
        </w:rPr>
        <w:t xml:space="preserve">новій </w:t>
      </w:r>
      <w:r w:rsidR="00A12B83" w:rsidRPr="000D167D">
        <w:rPr>
          <w:rFonts w:ascii="Times New Roman" w:hAnsi="Times New Roman"/>
        </w:rPr>
        <w:lastRenderedPageBreak/>
        <w:t xml:space="preserve">редакції згідно з протоколом засідання правління ПАТ «Розрахунковий центр» </w:t>
      </w:r>
      <w:r w:rsidR="0074390C">
        <w:rPr>
          <w:rFonts w:ascii="Times New Roman" w:hAnsi="Times New Roman"/>
        </w:rPr>
        <w:t xml:space="preserve">від </w:t>
      </w:r>
      <w:r w:rsidR="00A12B83" w:rsidRPr="000D167D">
        <w:rPr>
          <w:rFonts w:ascii="Times New Roman" w:hAnsi="Times New Roman"/>
        </w:rPr>
        <w:t xml:space="preserve">06.03.2018 № 10, погоджено </w:t>
      </w:r>
      <w:r w:rsidR="0074390C">
        <w:rPr>
          <w:rFonts w:ascii="Times New Roman" w:hAnsi="Times New Roman"/>
        </w:rPr>
        <w:t>в</w:t>
      </w:r>
      <w:r w:rsidR="0074390C" w:rsidRPr="000D167D">
        <w:rPr>
          <w:rFonts w:ascii="Times New Roman" w:hAnsi="Times New Roman"/>
        </w:rPr>
        <w:t xml:space="preserve"> </w:t>
      </w:r>
      <w:r w:rsidR="00A12B83" w:rsidRPr="000D167D">
        <w:rPr>
          <w:rFonts w:ascii="Times New Roman" w:hAnsi="Times New Roman"/>
        </w:rPr>
        <w:t xml:space="preserve">новій редакції Національним банком України 25.05.2018 та зареєстровано </w:t>
      </w:r>
      <w:r w:rsidR="0074390C">
        <w:rPr>
          <w:rFonts w:ascii="Times New Roman" w:hAnsi="Times New Roman"/>
        </w:rPr>
        <w:t>в</w:t>
      </w:r>
      <w:r w:rsidR="0074390C" w:rsidRPr="000D167D">
        <w:rPr>
          <w:rFonts w:ascii="Times New Roman" w:hAnsi="Times New Roman"/>
        </w:rPr>
        <w:t xml:space="preserve"> </w:t>
      </w:r>
      <w:r w:rsidR="00A12B83" w:rsidRPr="000D167D">
        <w:rPr>
          <w:rFonts w:ascii="Times New Roman" w:hAnsi="Times New Roman"/>
        </w:rPr>
        <w:t xml:space="preserve">новій редакції в Національній комісії з цінних паперів та фондового ринку України рішенням від 10.07.2018 № 452. </w:t>
      </w:r>
    </w:p>
    <w:p w:rsidR="00A12B83" w:rsidRPr="000D167D" w:rsidRDefault="00B02B9D" w:rsidP="00A12B83">
      <w:pPr>
        <w:overflowPunct w:val="0"/>
        <w:autoSpaceDE w:val="0"/>
        <w:spacing w:line="240" w:lineRule="atLeast"/>
        <w:ind w:left="709" w:hanging="709"/>
        <w:jc w:val="both"/>
        <w:textAlignment w:val="baseline"/>
        <w:rPr>
          <w:rFonts w:ascii="Times New Roman" w:hAnsi="Times New Roman"/>
          <w:lang w:val="ru-RU"/>
        </w:rPr>
      </w:pPr>
      <w:r>
        <w:rPr>
          <w:rFonts w:ascii="Times New Roman" w:hAnsi="Times New Roman"/>
        </w:rPr>
        <w:t>(13</w:t>
      </w:r>
      <w:r w:rsidR="00A12B83" w:rsidRPr="000D167D">
        <w:rPr>
          <w:rFonts w:ascii="Times New Roman" w:hAnsi="Times New Roman"/>
        </w:rPr>
        <w:t>)</w:t>
      </w:r>
      <w:r w:rsidR="00A12B83" w:rsidRPr="000D167D">
        <w:rPr>
          <w:rFonts w:ascii="Times New Roman" w:hAnsi="Times New Roman"/>
        </w:rPr>
        <w:tab/>
        <w:t>Розрахунковий центр відкриває та веде грошові рахунки учасників фондового ринку.</w:t>
      </w:r>
    </w:p>
    <w:p w:rsidR="00A12B83" w:rsidRPr="000D167D" w:rsidRDefault="00B02B9D" w:rsidP="00A12B83">
      <w:pPr>
        <w:overflowPunct w:val="0"/>
        <w:autoSpaceDE w:val="0"/>
        <w:spacing w:line="240" w:lineRule="atLeast"/>
        <w:ind w:left="709" w:hanging="709"/>
        <w:jc w:val="both"/>
        <w:textAlignment w:val="baseline"/>
        <w:rPr>
          <w:rFonts w:ascii="Times New Roman" w:hAnsi="Times New Roman"/>
        </w:rPr>
      </w:pPr>
      <w:proofErr w:type="gramStart"/>
      <w:r>
        <w:rPr>
          <w:rFonts w:ascii="Times New Roman" w:hAnsi="Times New Roman"/>
          <w:lang w:val="ru-RU"/>
        </w:rPr>
        <w:t>(14</w:t>
      </w:r>
      <w:r w:rsidR="00A12B83" w:rsidRPr="000D167D">
        <w:rPr>
          <w:rFonts w:ascii="Times New Roman" w:hAnsi="Times New Roman"/>
          <w:lang w:val="ru-RU"/>
        </w:rPr>
        <w:t xml:space="preserve">) </w:t>
      </w:r>
      <w:r w:rsidR="00A12B83" w:rsidRPr="000D167D">
        <w:rPr>
          <w:rFonts w:ascii="Times New Roman" w:hAnsi="Times New Roman"/>
          <w:lang w:val="ru-RU"/>
        </w:rPr>
        <w:tab/>
      </w:r>
      <w:r w:rsidR="00A12B83" w:rsidRPr="000D167D">
        <w:rPr>
          <w:rFonts w:ascii="Times New Roman" w:hAnsi="Times New Roman"/>
        </w:rPr>
        <w:t>Частиною першою статті 15 Закону України «Про депозитарну систему України» передбачено, що в Україні може існувати лише один Розрахунковий центр, а також те, що слова «Розрахунковий центр з обслуговування договорів на фінансових ринках» та похідні від них має право використовувати лише юридична особа, що набула відповідного статусу.</w:t>
      </w:r>
      <w:proofErr w:type="gramEnd"/>
    </w:p>
    <w:p w:rsidR="00A12B83" w:rsidRPr="000D167D" w:rsidRDefault="00B02B9D" w:rsidP="00A12B83">
      <w:pPr>
        <w:overflowPunct w:val="0"/>
        <w:autoSpaceDE w:val="0"/>
        <w:spacing w:line="240" w:lineRule="atLeast"/>
        <w:ind w:left="709" w:hanging="709"/>
        <w:jc w:val="both"/>
        <w:textAlignment w:val="baseline"/>
        <w:rPr>
          <w:rFonts w:ascii="Times New Roman" w:hAnsi="Times New Roman"/>
        </w:rPr>
      </w:pPr>
      <w:r>
        <w:rPr>
          <w:rFonts w:ascii="Times New Roman" w:hAnsi="Times New Roman"/>
        </w:rPr>
        <w:t>(15</w:t>
      </w:r>
      <w:r w:rsidR="00A12B83" w:rsidRPr="000D167D">
        <w:rPr>
          <w:rFonts w:ascii="Times New Roman" w:hAnsi="Times New Roman"/>
        </w:rPr>
        <w:t>)</w:t>
      </w:r>
      <w:r w:rsidR="00A12B83" w:rsidRPr="000D167D">
        <w:rPr>
          <w:rFonts w:ascii="Times New Roman" w:hAnsi="Times New Roman"/>
        </w:rPr>
        <w:tab/>
      </w:r>
      <w:r w:rsidR="0074390C">
        <w:rPr>
          <w:rFonts w:ascii="Times New Roman" w:hAnsi="Times New Roman"/>
        </w:rPr>
        <w:t>У</w:t>
      </w:r>
      <w:r w:rsidR="00A12B83" w:rsidRPr="000D167D">
        <w:rPr>
          <w:rFonts w:ascii="Times New Roman" w:hAnsi="Times New Roman"/>
        </w:rPr>
        <w:t xml:space="preserve"> прикінцевих положеннях Закону України «Про депозитарну систему України» визначено Національному банку України разом з Національною комісією з цінних паперів та фондового ринку розробити та затвердити протягом шести місяців з дня опублікування цього Закону нормативно-правові акти щодо забезпечення функціонування Розрахункового центру з обслуговування договорів на фінансових ринках. </w:t>
      </w:r>
    </w:p>
    <w:p w:rsidR="00A12B83" w:rsidRPr="000D167D" w:rsidRDefault="00A12B83" w:rsidP="00A12B83">
      <w:pPr>
        <w:overflowPunct w:val="0"/>
        <w:autoSpaceDE w:val="0"/>
        <w:spacing w:line="240" w:lineRule="atLeast"/>
        <w:ind w:left="709" w:hanging="709"/>
        <w:jc w:val="both"/>
        <w:textAlignment w:val="baseline"/>
        <w:rPr>
          <w:rFonts w:ascii="Times New Roman" w:hAnsi="Times New Roman"/>
        </w:rPr>
      </w:pPr>
      <w:r w:rsidRPr="000D167D">
        <w:rPr>
          <w:rFonts w:ascii="Times New Roman" w:hAnsi="Times New Roman"/>
        </w:rPr>
        <w:tab/>
        <w:t>Національним банком України здійснено придбання контролюючого пакет</w:t>
      </w:r>
      <w:r w:rsidR="0074390C">
        <w:rPr>
          <w:rFonts w:ascii="Times New Roman" w:hAnsi="Times New Roman"/>
        </w:rPr>
        <w:t>а</w:t>
      </w:r>
      <w:r w:rsidRPr="000D167D">
        <w:rPr>
          <w:rFonts w:ascii="Times New Roman" w:hAnsi="Times New Roman"/>
        </w:rPr>
        <w:t xml:space="preserve"> акцій ПрАТ «Всеукраїнський депозитарій цінних паперів» та ухвалено рішення про зміну типу та назви товариства з приватного акціонерного товариства «Всеукраїнський депозитарій цінних паперів» на публічне акціонерне товариство «Розрахунковий центр з обслуговування договорів на фінансових ринках». </w:t>
      </w:r>
    </w:p>
    <w:p w:rsidR="00A12B83" w:rsidRPr="000D167D" w:rsidRDefault="00A12B83" w:rsidP="00A12B83">
      <w:pPr>
        <w:tabs>
          <w:tab w:val="left" w:pos="720"/>
          <w:tab w:val="left" w:pos="1066"/>
        </w:tabs>
        <w:spacing w:line="240" w:lineRule="atLeast"/>
        <w:ind w:left="748" w:hanging="748"/>
        <w:jc w:val="both"/>
        <w:rPr>
          <w:rFonts w:ascii="Times New Roman" w:hAnsi="Times New Roman"/>
          <w:b/>
        </w:rPr>
      </w:pPr>
    </w:p>
    <w:p w:rsidR="00A12B83" w:rsidRPr="000D167D" w:rsidRDefault="00A12B83" w:rsidP="00A12B83">
      <w:pPr>
        <w:tabs>
          <w:tab w:val="left" w:pos="720"/>
          <w:tab w:val="left" w:pos="1066"/>
        </w:tabs>
        <w:spacing w:line="240" w:lineRule="atLeast"/>
        <w:ind w:left="748" w:hanging="748"/>
        <w:jc w:val="both"/>
        <w:rPr>
          <w:rFonts w:ascii="Times New Roman" w:hAnsi="Times New Roman"/>
          <w:b/>
        </w:rPr>
      </w:pPr>
      <w:r w:rsidRPr="000D167D">
        <w:rPr>
          <w:rFonts w:ascii="Times New Roman" w:hAnsi="Times New Roman"/>
          <w:b/>
        </w:rPr>
        <w:t>5.</w:t>
      </w:r>
      <w:r w:rsidRPr="000D167D">
        <w:rPr>
          <w:rFonts w:ascii="Times New Roman" w:hAnsi="Times New Roman"/>
        </w:rPr>
        <w:t xml:space="preserve"> </w:t>
      </w:r>
      <w:r w:rsidRPr="000D167D">
        <w:rPr>
          <w:rFonts w:ascii="Times New Roman" w:hAnsi="Times New Roman"/>
        </w:rPr>
        <w:tab/>
      </w:r>
      <w:r w:rsidRPr="000D167D">
        <w:rPr>
          <w:rFonts w:ascii="Times New Roman" w:hAnsi="Times New Roman"/>
          <w:b/>
        </w:rPr>
        <w:t>ВИЗНАЧЕННЯ МОНОПОЛЬНОГО (ДОМІНУЮЧОГО) СТАНОВИЩА</w:t>
      </w:r>
    </w:p>
    <w:p w:rsidR="00A12B83" w:rsidRPr="000D167D" w:rsidRDefault="00A12B83" w:rsidP="00A12B83">
      <w:pPr>
        <w:tabs>
          <w:tab w:val="left" w:pos="720"/>
          <w:tab w:val="left" w:pos="1066"/>
        </w:tabs>
        <w:spacing w:line="240" w:lineRule="atLeast"/>
        <w:ind w:left="748" w:hanging="748"/>
        <w:jc w:val="both"/>
        <w:rPr>
          <w:rFonts w:ascii="Times New Roman" w:hAnsi="Times New Roman"/>
        </w:rPr>
      </w:pPr>
    </w:p>
    <w:p w:rsidR="00A12B83" w:rsidRPr="000D167D" w:rsidRDefault="00A12B83" w:rsidP="00A12B83">
      <w:pPr>
        <w:spacing w:line="240" w:lineRule="atLeast"/>
        <w:ind w:left="720" w:hanging="720"/>
        <w:jc w:val="both"/>
        <w:rPr>
          <w:rFonts w:ascii="Times New Roman" w:hAnsi="Times New Roman"/>
        </w:rPr>
      </w:pPr>
      <w:r w:rsidRPr="000D167D">
        <w:rPr>
          <w:rFonts w:ascii="Times New Roman" w:hAnsi="Times New Roman"/>
          <w:b/>
        </w:rPr>
        <w:t>5.1.</w:t>
      </w:r>
      <w:r w:rsidRPr="000D167D">
        <w:rPr>
          <w:rFonts w:ascii="Times New Roman" w:hAnsi="Times New Roman"/>
        </w:rPr>
        <w:tab/>
      </w:r>
      <w:r w:rsidRPr="000D167D">
        <w:rPr>
          <w:rFonts w:ascii="Times New Roman" w:hAnsi="Times New Roman"/>
          <w:b/>
        </w:rPr>
        <w:t>Встановлення об’єктів аналізу щодо визначення монопольного (домінуючого) становища</w:t>
      </w:r>
    </w:p>
    <w:p w:rsidR="00A12B83" w:rsidRPr="000D167D" w:rsidRDefault="00B02B9D" w:rsidP="00A12B83">
      <w:pPr>
        <w:overflowPunct w:val="0"/>
        <w:autoSpaceDE w:val="0"/>
        <w:spacing w:line="240" w:lineRule="atLeast"/>
        <w:ind w:left="720" w:hanging="720"/>
        <w:jc w:val="both"/>
        <w:textAlignment w:val="baseline"/>
        <w:rPr>
          <w:rFonts w:ascii="Times New Roman" w:hAnsi="Times New Roman"/>
        </w:rPr>
      </w:pPr>
      <w:r>
        <w:rPr>
          <w:rFonts w:ascii="Times New Roman" w:hAnsi="Times New Roman"/>
        </w:rPr>
        <w:t>(16</w:t>
      </w:r>
      <w:r w:rsidR="00A12B83" w:rsidRPr="000D167D">
        <w:rPr>
          <w:rFonts w:ascii="Times New Roman" w:hAnsi="Times New Roman"/>
        </w:rPr>
        <w:t>)</w:t>
      </w:r>
      <w:r w:rsidR="00A12B83" w:rsidRPr="000D167D">
        <w:rPr>
          <w:rFonts w:ascii="Times New Roman" w:hAnsi="Times New Roman"/>
        </w:rPr>
        <w:tab/>
        <w:t xml:space="preserve">Відповідно до пункту 3.1 Методики визначення монопольного (домінуючого) становища суб’єктів господарювання на ринку, затвердженої розпорядженням Антимонопольного комітету України від 5 березня 2002 року № 49-р, зареєстрованим у Міністерстві юстиції України 1 квітня 2002 року за № 317/6605 (далі – Методика), об’єктами аналізу щодо визначення монопольного (домінуючого) становища є: </w:t>
      </w:r>
    </w:p>
    <w:p w:rsidR="00A12B83" w:rsidRPr="000D167D" w:rsidRDefault="00A12B83" w:rsidP="00A12B83">
      <w:pPr>
        <w:overflowPunct w:val="0"/>
        <w:autoSpaceDE w:val="0"/>
        <w:spacing w:line="240" w:lineRule="atLeast"/>
        <w:ind w:left="720" w:hanging="12"/>
        <w:jc w:val="both"/>
        <w:textAlignment w:val="baseline"/>
        <w:rPr>
          <w:rFonts w:ascii="Times New Roman" w:hAnsi="Times New Roman"/>
        </w:rPr>
      </w:pPr>
      <w:r w:rsidRPr="000D167D">
        <w:rPr>
          <w:rFonts w:ascii="Times New Roman" w:hAnsi="Times New Roman"/>
        </w:rPr>
        <w:t xml:space="preserve">- суб’єкт господарювання; </w:t>
      </w:r>
    </w:p>
    <w:p w:rsidR="00A12B83" w:rsidRPr="000D167D" w:rsidRDefault="00A12B83" w:rsidP="00A12B83">
      <w:pPr>
        <w:overflowPunct w:val="0"/>
        <w:autoSpaceDE w:val="0"/>
        <w:spacing w:line="240" w:lineRule="atLeast"/>
        <w:ind w:firstLine="708"/>
        <w:jc w:val="both"/>
        <w:textAlignment w:val="baseline"/>
        <w:rPr>
          <w:rFonts w:ascii="Times New Roman" w:hAnsi="Times New Roman"/>
        </w:rPr>
      </w:pPr>
      <w:r w:rsidRPr="000D167D">
        <w:rPr>
          <w:rFonts w:ascii="Times New Roman" w:hAnsi="Times New Roman"/>
        </w:rPr>
        <w:t>- група суб’єктів господарювання;</w:t>
      </w:r>
    </w:p>
    <w:p w:rsidR="00A12B83" w:rsidRPr="000D167D" w:rsidRDefault="00A12B83" w:rsidP="00A12B83">
      <w:pPr>
        <w:overflowPunct w:val="0"/>
        <w:autoSpaceDE w:val="0"/>
        <w:spacing w:line="240" w:lineRule="atLeast"/>
        <w:ind w:left="720"/>
        <w:jc w:val="both"/>
        <w:textAlignment w:val="baseline"/>
        <w:rPr>
          <w:rFonts w:ascii="Times New Roman" w:hAnsi="Times New Roman"/>
        </w:rPr>
      </w:pPr>
      <w:r w:rsidRPr="000D167D">
        <w:rPr>
          <w:rFonts w:ascii="Times New Roman" w:hAnsi="Times New Roman"/>
        </w:rPr>
        <w:t>- конкретний товар (продукція, роботи, послуги), який (які) випускається(</w:t>
      </w:r>
      <w:proofErr w:type="spellStart"/>
      <w:r w:rsidRPr="000D167D">
        <w:rPr>
          <w:rFonts w:ascii="Times New Roman" w:hAnsi="Times New Roman"/>
        </w:rPr>
        <w:t>ються</w:t>
      </w:r>
      <w:proofErr w:type="spellEnd"/>
      <w:r w:rsidRPr="000D167D">
        <w:rPr>
          <w:rFonts w:ascii="Times New Roman" w:hAnsi="Times New Roman"/>
        </w:rPr>
        <w:t>), постачається(</w:t>
      </w:r>
      <w:proofErr w:type="spellStart"/>
      <w:r w:rsidRPr="000D167D">
        <w:rPr>
          <w:rFonts w:ascii="Times New Roman" w:hAnsi="Times New Roman"/>
        </w:rPr>
        <w:t>ються</w:t>
      </w:r>
      <w:proofErr w:type="spellEnd"/>
      <w:r w:rsidRPr="000D167D">
        <w:rPr>
          <w:rFonts w:ascii="Times New Roman" w:hAnsi="Times New Roman"/>
        </w:rPr>
        <w:t>), продається(</w:t>
      </w:r>
      <w:proofErr w:type="spellStart"/>
      <w:r w:rsidRPr="000D167D">
        <w:rPr>
          <w:rFonts w:ascii="Times New Roman" w:hAnsi="Times New Roman"/>
        </w:rPr>
        <w:t>ються</w:t>
      </w:r>
      <w:proofErr w:type="spellEnd"/>
      <w:r w:rsidRPr="000D167D">
        <w:rPr>
          <w:rFonts w:ascii="Times New Roman" w:hAnsi="Times New Roman"/>
        </w:rPr>
        <w:t>), придбавається(</w:t>
      </w:r>
      <w:proofErr w:type="spellStart"/>
      <w:r w:rsidRPr="000D167D">
        <w:rPr>
          <w:rFonts w:ascii="Times New Roman" w:hAnsi="Times New Roman"/>
        </w:rPr>
        <w:t>ються</w:t>
      </w:r>
      <w:proofErr w:type="spellEnd"/>
      <w:r w:rsidRPr="000D167D">
        <w:rPr>
          <w:rFonts w:ascii="Times New Roman" w:hAnsi="Times New Roman"/>
        </w:rPr>
        <w:t>), використовується(</w:t>
      </w:r>
      <w:proofErr w:type="spellStart"/>
      <w:r w:rsidRPr="000D167D">
        <w:rPr>
          <w:rFonts w:ascii="Times New Roman" w:hAnsi="Times New Roman"/>
        </w:rPr>
        <w:t>ються</w:t>
      </w:r>
      <w:proofErr w:type="spellEnd"/>
      <w:r w:rsidRPr="000D167D">
        <w:rPr>
          <w:rFonts w:ascii="Times New Roman" w:hAnsi="Times New Roman"/>
        </w:rPr>
        <w:t>), споживається(</w:t>
      </w:r>
      <w:proofErr w:type="spellStart"/>
      <w:r w:rsidRPr="000D167D">
        <w:rPr>
          <w:rFonts w:ascii="Times New Roman" w:hAnsi="Times New Roman"/>
        </w:rPr>
        <w:t>ються</w:t>
      </w:r>
      <w:proofErr w:type="spellEnd"/>
      <w:r w:rsidRPr="000D167D">
        <w:rPr>
          <w:rFonts w:ascii="Times New Roman" w:hAnsi="Times New Roman"/>
        </w:rPr>
        <w:t xml:space="preserve">) цим (цими) суб’єктом (суб’єктами) господарювання. </w:t>
      </w:r>
    </w:p>
    <w:p w:rsidR="00A12B83" w:rsidRPr="000D167D" w:rsidRDefault="00A12B83" w:rsidP="00A12B83">
      <w:pPr>
        <w:tabs>
          <w:tab w:val="left" w:pos="720"/>
          <w:tab w:val="left" w:pos="1066"/>
        </w:tabs>
        <w:spacing w:line="240" w:lineRule="atLeast"/>
        <w:ind w:left="748"/>
        <w:jc w:val="both"/>
        <w:rPr>
          <w:rFonts w:ascii="Times New Roman" w:hAnsi="Times New Roman"/>
        </w:rPr>
      </w:pPr>
      <w:r w:rsidRPr="000D167D">
        <w:rPr>
          <w:rFonts w:ascii="Times New Roman" w:hAnsi="Times New Roman"/>
        </w:rPr>
        <w:t>Згідно з Методикою визначено становище ПАТ «Розрахунковий центр» на ринку послуг з клірингового обслуговування на фондовому ринку.</w:t>
      </w:r>
    </w:p>
    <w:p w:rsidR="00A12B83" w:rsidRPr="000D167D" w:rsidRDefault="00A12B83" w:rsidP="00A12B83">
      <w:pPr>
        <w:tabs>
          <w:tab w:val="left" w:pos="720"/>
          <w:tab w:val="left" w:pos="1066"/>
        </w:tabs>
        <w:spacing w:line="240" w:lineRule="atLeast"/>
        <w:ind w:left="748"/>
        <w:jc w:val="both"/>
        <w:rPr>
          <w:rFonts w:ascii="Times New Roman" w:hAnsi="Times New Roman"/>
        </w:rPr>
      </w:pPr>
    </w:p>
    <w:p w:rsidR="00A12B83" w:rsidRPr="000D167D" w:rsidRDefault="00A12B83" w:rsidP="00A12B83">
      <w:pPr>
        <w:spacing w:line="240" w:lineRule="atLeast"/>
        <w:ind w:left="720" w:hanging="720"/>
        <w:jc w:val="both"/>
        <w:rPr>
          <w:rFonts w:ascii="Times New Roman" w:hAnsi="Times New Roman"/>
        </w:rPr>
      </w:pPr>
      <w:r w:rsidRPr="000D167D">
        <w:rPr>
          <w:rFonts w:ascii="Times New Roman" w:hAnsi="Times New Roman"/>
          <w:b/>
        </w:rPr>
        <w:t>5.2.</w:t>
      </w:r>
      <w:r w:rsidRPr="000D167D">
        <w:rPr>
          <w:rFonts w:ascii="Times New Roman" w:hAnsi="Times New Roman"/>
          <w:b/>
        </w:rPr>
        <w:tab/>
        <w:t>Визначення товарних меж ринку</w:t>
      </w:r>
    </w:p>
    <w:p w:rsidR="00A12B83" w:rsidRPr="000D167D" w:rsidRDefault="00B02B9D" w:rsidP="00A12B83">
      <w:pPr>
        <w:overflowPunct w:val="0"/>
        <w:autoSpaceDE w:val="0"/>
        <w:spacing w:line="240" w:lineRule="atLeast"/>
        <w:ind w:left="748" w:hanging="748"/>
        <w:jc w:val="both"/>
        <w:textAlignment w:val="baseline"/>
        <w:rPr>
          <w:rFonts w:ascii="Times New Roman" w:hAnsi="Times New Roman"/>
        </w:rPr>
      </w:pPr>
      <w:r>
        <w:rPr>
          <w:rFonts w:ascii="Times New Roman" w:hAnsi="Times New Roman"/>
        </w:rPr>
        <w:t>(17</w:t>
      </w:r>
      <w:r w:rsidR="00A12B83" w:rsidRPr="000D167D">
        <w:rPr>
          <w:rFonts w:ascii="Times New Roman" w:hAnsi="Times New Roman"/>
        </w:rPr>
        <w:t>)</w:t>
      </w:r>
      <w:r w:rsidR="00A12B83" w:rsidRPr="000D167D">
        <w:rPr>
          <w:rFonts w:ascii="Times New Roman" w:hAnsi="Times New Roman"/>
        </w:rPr>
        <w:tab/>
        <w:t xml:space="preserve">Відповідно до пункту 5.1 Методики товарні межі ринку визначаються шляхом формування групи взаємозамінних товарів (товарних груп), у межах якої споживач за звичайних умов може легко перейти від споживання одного товару до споживання іншого. Формування групи взаємозамінних товарів (товарних груп) здійснюється з переліку товарів, які мають для продавців (постачальників, виробників), покупців (споживачів, користувачів) ознаки одного (подібного, аналогічного) товару (товарної групи), за показниками взаємозамінності. </w:t>
      </w:r>
    </w:p>
    <w:p w:rsidR="00A12B83" w:rsidRPr="000D167D" w:rsidRDefault="00B02B9D" w:rsidP="00A12B83">
      <w:pPr>
        <w:tabs>
          <w:tab w:val="left" w:pos="720"/>
          <w:tab w:val="left" w:pos="1066"/>
        </w:tabs>
        <w:spacing w:line="240" w:lineRule="atLeast"/>
        <w:ind w:left="720" w:hanging="720"/>
        <w:jc w:val="both"/>
        <w:rPr>
          <w:rFonts w:ascii="Times New Roman" w:hAnsi="Times New Roman"/>
        </w:rPr>
      </w:pPr>
      <w:r>
        <w:rPr>
          <w:rFonts w:ascii="Times New Roman" w:hAnsi="Times New Roman"/>
        </w:rPr>
        <w:t>(18</w:t>
      </w:r>
      <w:r w:rsidR="00A12B83" w:rsidRPr="000D167D">
        <w:rPr>
          <w:rFonts w:ascii="Times New Roman" w:hAnsi="Times New Roman"/>
        </w:rPr>
        <w:t>)</w:t>
      </w:r>
      <w:r w:rsidR="00A12B83" w:rsidRPr="000D167D">
        <w:rPr>
          <w:rFonts w:ascii="Times New Roman" w:hAnsi="Times New Roman"/>
        </w:rPr>
        <w:tab/>
        <w:t>Зважаючи на визначення поняття «клірингова діяльність», наведене у Законі України «Про цінні папери та фондовий ринок», послуги з клірингового обслуговування на фондовому ринку не мають замінників.</w:t>
      </w:r>
    </w:p>
    <w:p w:rsidR="00A12B83" w:rsidRPr="000D167D" w:rsidRDefault="00B02B9D" w:rsidP="00A12B83">
      <w:pPr>
        <w:tabs>
          <w:tab w:val="left" w:pos="720"/>
          <w:tab w:val="left" w:pos="1066"/>
        </w:tabs>
        <w:spacing w:line="240" w:lineRule="atLeast"/>
        <w:ind w:left="720" w:hanging="720"/>
        <w:jc w:val="both"/>
        <w:rPr>
          <w:rFonts w:ascii="Times New Roman" w:hAnsi="Times New Roman"/>
        </w:rPr>
      </w:pPr>
      <w:r>
        <w:rPr>
          <w:rFonts w:ascii="Times New Roman" w:hAnsi="Times New Roman"/>
        </w:rPr>
        <w:lastRenderedPageBreak/>
        <w:t>(19</w:t>
      </w:r>
      <w:r w:rsidR="00A12B83" w:rsidRPr="000D167D">
        <w:rPr>
          <w:rFonts w:ascii="Times New Roman" w:hAnsi="Times New Roman"/>
        </w:rPr>
        <w:t>)</w:t>
      </w:r>
      <w:r w:rsidR="00A12B83" w:rsidRPr="000D167D">
        <w:rPr>
          <w:rFonts w:ascii="Times New Roman" w:hAnsi="Times New Roman"/>
        </w:rPr>
        <w:tab/>
        <w:t>Товарними межами ринку є послуги з клірингового обслуговування за договорами щодо цінних паперів та/або інших фінансових інструментів</w:t>
      </w:r>
      <w:r w:rsidR="007C31D6">
        <w:rPr>
          <w:rFonts w:ascii="Times New Roman" w:hAnsi="Times New Roman"/>
        </w:rPr>
        <w:t>,</w:t>
      </w:r>
      <w:r w:rsidR="00A12B83" w:rsidRPr="000D167D">
        <w:rPr>
          <w:rFonts w:ascii="Times New Roman" w:hAnsi="Times New Roman"/>
        </w:rPr>
        <w:t xml:space="preserve"> оскільки відсутні взаємозамінні послуги, які мають для споживачів ознаки подібних послуг.</w:t>
      </w:r>
    </w:p>
    <w:p w:rsidR="00A12B83" w:rsidRPr="000D167D" w:rsidRDefault="00B02B9D" w:rsidP="00A12B83">
      <w:pPr>
        <w:overflowPunct w:val="0"/>
        <w:autoSpaceDE w:val="0"/>
        <w:spacing w:line="240" w:lineRule="atLeast"/>
        <w:ind w:left="748" w:hanging="748"/>
        <w:jc w:val="both"/>
        <w:textAlignment w:val="baseline"/>
        <w:rPr>
          <w:rFonts w:ascii="Times New Roman" w:hAnsi="Times New Roman"/>
          <w:b/>
        </w:rPr>
      </w:pPr>
      <w:r>
        <w:rPr>
          <w:rFonts w:ascii="Times New Roman" w:hAnsi="Times New Roman"/>
        </w:rPr>
        <w:t>(20</w:t>
      </w:r>
      <w:r w:rsidR="00A12B83" w:rsidRPr="000D167D">
        <w:rPr>
          <w:rFonts w:ascii="Times New Roman" w:hAnsi="Times New Roman"/>
        </w:rPr>
        <w:t>)</w:t>
      </w:r>
      <w:r w:rsidR="00A12B83" w:rsidRPr="000D167D">
        <w:rPr>
          <w:rFonts w:ascii="Times New Roman" w:hAnsi="Times New Roman"/>
          <w:b/>
        </w:rPr>
        <w:tab/>
      </w:r>
      <w:r w:rsidR="00A12B83" w:rsidRPr="000D167D">
        <w:rPr>
          <w:rFonts w:ascii="Times New Roman" w:hAnsi="Times New Roman"/>
        </w:rPr>
        <w:t>Отже, послуги з клірингового обслуговування на фондовому ринку</w:t>
      </w:r>
      <w:r w:rsidR="00A12B83" w:rsidRPr="000D167D">
        <w:rPr>
          <w:rFonts w:ascii="Times New Roman" w:hAnsi="Times New Roman"/>
          <w:b/>
        </w:rPr>
        <w:t xml:space="preserve"> є окремим товарним ринком</w:t>
      </w:r>
      <w:r w:rsidR="00A12B83" w:rsidRPr="000D167D">
        <w:rPr>
          <w:rFonts w:ascii="Times New Roman" w:hAnsi="Times New Roman"/>
        </w:rPr>
        <w:t>.</w:t>
      </w:r>
      <w:r w:rsidR="00A12B83" w:rsidRPr="000D167D">
        <w:rPr>
          <w:rFonts w:ascii="Times New Roman" w:hAnsi="Times New Roman"/>
          <w:b/>
        </w:rPr>
        <w:t xml:space="preserve"> </w:t>
      </w:r>
    </w:p>
    <w:p w:rsidR="00A12B83" w:rsidRPr="000D167D" w:rsidRDefault="00A12B83" w:rsidP="00A12B83">
      <w:pPr>
        <w:overflowPunct w:val="0"/>
        <w:autoSpaceDE w:val="0"/>
        <w:spacing w:line="240" w:lineRule="atLeast"/>
        <w:ind w:left="748" w:hanging="748"/>
        <w:jc w:val="both"/>
        <w:textAlignment w:val="baseline"/>
        <w:rPr>
          <w:rFonts w:ascii="Times New Roman" w:hAnsi="Times New Roman"/>
        </w:rPr>
      </w:pPr>
    </w:p>
    <w:p w:rsidR="00A12B83" w:rsidRPr="000D167D" w:rsidRDefault="00A12B83" w:rsidP="00A12B83">
      <w:pPr>
        <w:spacing w:line="240" w:lineRule="atLeast"/>
        <w:ind w:left="705" w:hanging="705"/>
        <w:jc w:val="both"/>
        <w:rPr>
          <w:rFonts w:ascii="Times New Roman" w:hAnsi="Times New Roman"/>
        </w:rPr>
      </w:pPr>
      <w:r w:rsidRPr="000D167D">
        <w:rPr>
          <w:rFonts w:ascii="Times New Roman" w:hAnsi="Times New Roman"/>
          <w:b/>
        </w:rPr>
        <w:t>5.3.</w:t>
      </w:r>
      <w:r w:rsidRPr="000D167D">
        <w:rPr>
          <w:rFonts w:ascii="Times New Roman" w:hAnsi="Times New Roman"/>
          <w:b/>
        </w:rPr>
        <w:tab/>
        <w:t>Визначення територіальних (географічних) меж ринку</w:t>
      </w:r>
    </w:p>
    <w:p w:rsidR="00A12B83" w:rsidRPr="000D167D" w:rsidRDefault="00B02B9D" w:rsidP="00A12B83">
      <w:pPr>
        <w:spacing w:line="240" w:lineRule="atLeast"/>
        <w:ind w:left="748" w:hanging="748"/>
        <w:jc w:val="both"/>
        <w:rPr>
          <w:rFonts w:ascii="Times New Roman" w:hAnsi="Times New Roman"/>
        </w:rPr>
      </w:pPr>
      <w:r>
        <w:rPr>
          <w:rFonts w:ascii="Times New Roman" w:hAnsi="Times New Roman"/>
        </w:rPr>
        <w:t>(21</w:t>
      </w:r>
      <w:r w:rsidR="00A12B83" w:rsidRPr="000D167D">
        <w:rPr>
          <w:rFonts w:ascii="Times New Roman" w:hAnsi="Times New Roman"/>
        </w:rPr>
        <w:t>)</w:t>
      </w:r>
      <w:r w:rsidR="00A12B83" w:rsidRPr="000D167D">
        <w:rPr>
          <w:rFonts w:ascii="Times New Roman" w:hAnsi="Times New Roman"/>
        </w:rPr>
        <w:tab/>
        <w:t xml:space="preserve">Відповідно до пункту 6.1 Методики територіальні (географічні) межі ринку певного товару (товарної групи) визначаються шляхом установлення мінімальної території, за межами якої з точки зору споживача, придбання товарів (товарної групи), що належать до групи взаємозамінних товарів товарної групи, є неможливим або недоцільним. </w:t>
      </w:r>
    </w:p>
    <w:p w:rsidR="00A12B83" w:rsidRPr="000D167D" w:rsidRDefault="00B02B9D" w:rsidP="00A12B83">
      <w:pPr>
        <w:overflowPunct w:val="0"/>
        <w:autoSpaceDE w:val="0"/>
        <w:spacing w:line="240" w:lineRule="atLeast"/>
        <w:ind w:left="720" w:hanging="720"/>
        <w:jc w:val="both"/>
        <w:textAlignment w:val="baseline"/>
        <w:rPr>
          <w:rFonts w:ascii="Times New Roman" w:hAnsi="Times New Roman"/>
        </w:rPr>
      </w:pPr>
      <w:r>
        <w:rPr>
          <w:rFonts w:ascii="Times New Roman" w:hAnsi="Times New Roman"/>
        </w:rPr>
        <w:t>(22</w:t>
      </w:r>
      <w:r w:rsidR="00A12B83" w:rsidRPr="000D167D">
        <w:rPr>
          <w:rFonts w:ascii="Times New Roman" w:hAnsi="Times New Roman"/>
        </w:rPr>
        <w:t>)</w:t>
      </w:r>
      <w:r w:rsidR="00A12B83" w:rsidRPr="000D167D">
        <w:rPr>
          <w:rFonts w:ascii="Times New Roman" w:hAnsi="Times New Roman"/>
        </w:rPr>
        <w:tab/>
        <w:t>Відповідно до Правил клірингу:</w:t>
      </w:r>
    </w:p>
    <w:p w:rsidR="00A12B83" w:rsidRPr="000D167D" w:rsidRDefault="00A12B83" w:rsidP="00A12B83">
      <w:pPr>
        <w:numPr>
          <w:ilvl w:val="0"/>
          <w:numId w:val="4"/>
        </w:numPr>
        <w:tabs>
          <w:tab w:val="left" w:pos="1066"/>
        </w:tabs>
        <w:suppressAutoHyphens/>
        <w:overflowPunct w:val="0"/>
        <w:autoSpaceDE w:val="0"/>
        <w:spacing w:line="240" w:lineRule="atLeast"/>
        <w:ind w:left="720" w:firstLine="0"/>
        <w:jc w:val="both"/>
        <w:textAlignment w:val="baseline"/>
        <w:rPr>
          <w:rFonts w:ascii="Times New Roman" w:hAnsi="Times New Roman"/>
        </w:rPr>
      </w:pPr>
      <w:r w:rsidRPr="000D167D">
        <w:rPr>
          <w:rFonts w:ascii="Times New Roman" w:hAnsi="Times New Roman"/>
        </w:rPr>
        <w:t>учасниками клірингу можуть бути юридичні особи – резиденти, що мають чинну ліцензію на провадження професійної діяльності на фондовому ринку – діяльності з торгівлі цінними паперами, Національний банк України, який здійснює операції з цінними паперами на виконання своїх функцій, визначених законодавством України, а також емітенти цінних паперів (пункт 3.1 розділу 3);</w:t>
      </w:r>
    </w:p>
    <w:p w:rsidR="00A12B83" w:rsidRPr="000D167D" w:rsidRDefault="00B02B9D" w:rsidP="00A12B83">
      <w:pPr>
        <w:tabs>
          <w:tab w:val="left" w:pos="1066"/>
        </w:tabs>
        <w:overflowPunct w:val="0"/>
        <w:autoSpaceDE w:val="0"/>
        <w:spacing w:line="240" w:lineRule="atLeast"/>
        <w:ind w:left="720" w:hanging="720"/>
        <w:jc w:val="both"/>
        <w:textAlignment w:val="baseline"/>
        <w:rPr>
          <w:rFonts w:ascii="Times New Roman" w:hAnsi="Times New Roman"/>
        </w:rPr>
      </w:pPr>
      <w:r>
        <w:rPr>
          <w:rFonts w:ascii="Times New Roman" w:hAnsi="Times New Roman"/>
        </w:rPr>
        <w:t xml:space="preserve"> (23</w:t>
      </w:r>
      <w:r w:rsidR="00A12B83" w:rsidRPr="000D167D">
        <w:rPr>
          <w:rFonts w:ascii="Times New Roman" w:hAnsi="Times New Roman"/>
        </w:rPr>
        <w:t>)</w:t>
      </w:r>
      <w:r w:rsidR="00A12B83" w:rsidRPr="000D167D">
        <w:rPr>
          <w:rFonts w:ascii="Times New Roman" w:hAnsi="Times New Roman"/>
        </w:rPr>
        <w:tab/>
        <w:t>Виходячи з того, що:</w:t>
      </w:r>
    </w:p>
    <w:p w:rsidR="00A12B83" w:rsidRPr="000D167D" w:rsidRDefault="00A12B83" w:rsidP="00A12B83">
      <w:pPr>
        <w:tabs>
          <w:tab w:val="left" w:pos="1066"/>
        </w:tabs>
        <w:overflowPunct w:val="0"/>
        <w:autoSpaceDE w:val="0"/>
        <w:spacing w:line="240" w:lineRule="atLeast"/>
        <w:ind w:left="720" w:hanging="720"/>
        <w:jc w:val="both"/>
        <w:textAlignment w:val="baseline"/>
        <w:rPr>
          <w:rFonts w:ascii="Times New Roman" w:hAnsi="Times New Roman"/>
        </w:rPr>
      </w:pPr>
      <w:r w:rsidRPr="000D167D">
        <w:rPr>
          <w:rFonts w:ascii="Times New Roman" w:hAnsi="Times New Roman"/>
        </w:rPr>
        <w:tab/>
        <w:t>- сутність поняття «клірингова діяльність» свідчить про те, що якість послуг з клірингового обслуговування на фондовому ринку не залежить від місця розташування клірингової установи та споживачів, яким вона надає свої послуги;</w:t>
      </w:r>
    </w:p>
    <w:p w:rsidR="00A12B83" w:rsidRPr="000D167D" w:rsidRDefault="00A12B83" w:rsidP="00A12B83">
      <w:pPr>
        <w:tabs>
          <w:tab w:val="left" w:pos="1066"/>
        </w:tabs>
        <w:overflowPunct w:val="0"/>
        <w:autoSpaceDE w:val="0"/>
        <w:spacing w:line="240" w:lineRule="atLeast"/>
        <w:ind w:left="720" w:hanging="720"/>
        <w:jc w:val="both"/>
        <w:textAlignment w:val="baseline"/>
        <w:rPr>
          <w:rFonts w:ascii="Times New Roman" w:hAnsi="Times New Roman"/>
        </w:rPr>
      </w:pPr>
      <w:r w:rsidRPr="000D167D">
        <w:rPr>
          <w:rFonts w:ascii="Times New Roman" w:hAnsi="Times New Roman"/>
        </w:rPr>
        <w:tab/>
        <w:t>- клірингові установи можуть здійснювати визначення зобов’язань, що підлягають виконанню за правочинами щодо цінних паперів та інших фінансових інструментів, підготовк</w:t>
      </w:r>
      <w:r w:rsidR="00126536">
        <w:rPr>
          <w:rFonts w:ascii="Times New Roman" w:hAnsi="Times New Roman"/>
        </w:rPr>
        <w:t>у</w:t>
      </w:r>
      <w:r w:rsidRPr="000D167D">
        <w:rPr>
          <w:rFonts w:ascii="Times New Roman" w:hAnsi="Times New Roman"/>
        </w:rPr>
        <w:t xml:space="preserve"> документів (інформації) для проведення розрахунків, а також створення системи гарантій з виконання зобов’язань за правочинами щодо цінних паперів та інших фінансових інструментів на всій території України;</w:t>
      </w:r>
    </w:p>
    <w:p w:rsidR="00A12B83" w:rsidRPr="000D167D" w:rsidRDefault="00A12B83" w:rsidP="00A12B83">
      <w:pPr>
        <w:tabs>
          <w:tab w:val="left" w:pos="1066"/>
        </w:tabs>
        <w:overflowPunct w:val="0"/>
        <w:autoSpaceDE w:val="0"/>
        <w:spacing w:line="240" w:lineRule="atLeast"/>
        <w:ind w:left="720"/>
        <w:jc w:val="both"/>
        <w:textAlignment w:val="baseline"/>
        <w:rPr>
          <w:rFonts w:ascii="Times New Roman" w:hAnsi="Times New Roman"/>
        </w:rPr>
      </w:pPr>
      <w:r w:rsidRPr="000D167D">
        <w:rPr>
          <w:rFonts w:ascii="Times New Roman" w:hAnsi="Times New Roman"/>
        </w:rPr>
        <w:t>- клірингові установи та споживачі їх послуг</w:t>
      </w:r>
      <w:r w:rsidR="00126536">
        <w:rPr>
          <w:rFonts w:ascii="Times New Roman" w:hAnsi="Times New Roman"/>
        </w:rPr>
        <w:t>,</w:t>
      </w:r>
      <w:r w:rsidRPr="000D167D">
        <w:rPr>
          <w:rFonts w:ascii="Times New Roman" w:hAnsi="Times New Roman"/>
        </w:rPr>
        <w:t xml:space="preserve"> зокрема торгівці цінними паперами</w:t>
      </w:r>
      <w:r w:rsidR="00126536">
        <w:rPr>
          <w:rFonts w:ascii="Times New Roman" w:hAnsi="Times New Roman"/>
        </w:rPr>
        <w:t>,</w:t>
      </w:r>
      <w:r w:rsidRPr="000D167D">
        <w:rPr>
          <w:rFonts w:ascii="Times New Roman" w:hAnsi="Times New Roman"/>
        </w:rPr>
        <w:t xml:space="preserve"> можуть знаходитись </w:t>
      </w:r>
      <w:r w:rsidR="00126536">
        <w:rPr>
          <w:rFonts w:ascii="Times New Roman" w:hAnsi="Times New Roman"/>
        </w:rPr>
        <w:t>у</w:t>
      </w:r>
      <w:r w:rsidR="00126536" w:rsidRPr="000D167D">
        <w:rPr>
          <w:rFonts w:ascii="Times New Roman" w:hAnsi="Times New Roman"/>
        </w:rPr>
        <w:t xml:space="preserve"> </w:t>
      </w:r>
      <w:r w:rsidRPr="000D167D">
        <w:rPr>
          <w:rFonts w:ascii="Times New Roman" w:hAnsi="Times New Roman"/>
        </w:rPr>
        <w:t>різних регіонах України,</w:t>
      </w:r>
    </w:p>
    <w:p w:rsidR="00A12B83" w:rsidRPr="000D167D" w:rsidRDefault="00A12B83" w:rsidP="00A12B83">
      <w:pPr>
        <w:overflowPunct w:val="0"/>
        <w:autoSpaceDE w:val="0"/>
        <w:spacing w:line="240" w:lineRule="atLeast"/>
        <w:ind w:left="748" w:hanging="748"/>
        <w:jc w:val="both"/>
        <w:textAlignment w:val="baseline"/>
        <w:rPr>
          <w:rFonts w:ascii="Times New Roman" w:hAnsi="Times New Roman"/>
        </w:rPr>
      </w:pPr>
      <w:r w:rsidRPr="000D167D">
        <w:rPr>
          <w:rFonts w:ascii="Times New Roman" w:hAnsi="Times New Roman"/>
          <w:b/>
        </w:rPr>
        <w:tab/>
      </w:r>
      <w:r w:rsidRPr="000D167D">
        <w:rPr>
          <w:rFonts w:ascii="Times New Roman" w:hAnsi="Times New Roman"/>
        </w:rPr>
        <w:t>послуги з клірингового обслуговування на фондовому ринку</w:t>
      </w:r>
      <w:r w:rsidRPr="000D167D">
        <w:rPr>
          <w:rFonts w:ascii="Times New Roman" w:hAnsi="Times New Roman"/>
          <w:b/>
        </w:rPr>
        <w:t xml:space="preserve"> є загальнодержавним ринком</w:t>
      </w:r>
      <w:r w:rsidRPr="000D167D">
        <w:rPr>
          <w:rFonts w:ascii="Times New Roman" w:hAnsi="Times New Roman"/>
        </w:rPr>
        <w:t>.</w:t>
      </w:r>
    </w:p>
    <w:p w:rsidR="00A12B83" w:rsidRPr="000D167D" w:rsidRDefault="00A12B83" w:rsidP="00A12B83">
      <w:pPr>
        <w:overflowPunct w:val="0"/>
        <w:autoSpaceDE w:val="0"/>
        <w:spacing w:line="240" w:lineRule="atLeast"/>
        <w:ind w:left="748" w:hanging="748"/>
        <w:jc w:val="both"/>
        <w:textAlignment w:val="baseline"/>
        <w:rPr>
          <w:rFonts w:ascii="Times New Roman" w:hAnsi="Times New Roman"/>
        </w:rPr>
      </w:pPr>
    </w:p>
    <w:p w:rsidR="00A12B83" w:rsidRPr="000D167D" w:rsidRDefault="00A12B83" w:rsidP="00A12B83">
      <w:pPr>
        <w:tabs>
          <w:tab w:val="left" w:pos="720"/>
        </w:tabs>
        <w:spacing w:line="240" w:lineRule="atLeast"/>
        <w:jc w:val="both"/>
        <w:rPr>
          <w:rFonts w:ascii="Times New Roman" w:hAnsi="Times New Roman"/>
        </w:rPr>
      </w:pPr>
      <w:r w:rsidRPr="000D167D">
        <w:rPr>
          <w:rFonts w:ascii="Times New Roman" w:hAnsi="Times New Roman"/>
          <w:b/>
        </w:rPr>
        <w:t>5.4.</w:t>
      </w:r>
      <w:r w:rsidRPr="000D167D">
        <w:rPr>
          <w:rFonts w:ascii="Times New Roman" w:hAnsi="Times New Roman"/>
          <w:b/>
        </w:rPr>
        <w:tab/>
        <w:t>Визначення часових меж ринку</w:t>
      </w:r>
    </w:p>
    <w:p w:rsidR="00A12B83" w:rsidRPr="000D167D" w:rsidRDefault="00B02B9D" w:rsidP="00A12B83">
      <w:pPr>
        <w:overflowPunct w:val="0"/>
        <w:autoSpaceDE w:val="0"/>
        <w:spacing w:line="240" w:lineRule="atLeast"/>
        <w:ind w:left="720" w:hanging="720"/>
        <w:jc w:val="both"/>
        <w:textAlignment w:val="baseline"/>
        <w:rPr>
          <w:rFonts w:ascii="Times New Roman" w:hAnsi="Times New Roman"/>
        </w:rPr>
      </w:pPr>
      <w:r>
        <w:rPr>
          <w:rFonts w:ascii="Times New Roman" w:hAnsi="Times New Roman"/>
        </w:rPr>
        <w:t>(24</w:t>
      </w:r>
      <w:r w:rsidR="00A12B83" w:rsidRPr="000D167D">
        <w:rPr>
          <w:rFonts w:ascii="Times New Roman" w:hAnsi="Times New Roman"/>
        </w:rPr>
        <w:t>)</w:t>
      </w:r>
      <w:r w:rsidR="00A12B83" w:rsidRPr="000D167D">
        <w:rPr>
          <w:rFonts w:ascii="Times New Roman" w:hAnsi="Times New Roman"/>
        </w:rPr>
        <w:tab/>
        <w:t xml:space="preserve">Відповідно до пункту 7.1 Методики часові межі ринку визначаються як проміжок часу (як правило – рік), протягом якого відповідна сукупність товарно-грошових відносин між продавцями (постачальниками, виробниками) і споживачами утворює ринок товару із сталою структурою. </w:t>
      </w:r>
    </w:p>
    <w:p w:rsidR="00A12B83" w:rsidRPr="000D167D" w:rsidRDefault="00B02B9D" w:rsidP="00A12B83">
      <w:pPr>
        <w:overflowPunct w:val="0"/>
        <w:autoSpaceDE w:val="0"/>
        <w:spacing w:line="240" w:lineRule="atLeast"/>
        <w:ind w:left="748" w:hanging="720"/>
        <w:jc w:val="both"/>
        <w:textAlignment w:val="baseline"/>
        <w:rPr>
          <w:rFonts w:ascii="Times New Roman" w:hAnsi="Times New Roman"/>
        </w:rPr>
      </w:pPr>
      <w:r>
        <w:rPr>
          <w:rFonts w:ascii="Times New Roman" w:hAnsi="Times New Roman"/>
        </w:rPr>
        <w:t>(25</w:t>
      </w:r>
      <w:r w:rsidR="00A12B83" w:rsidRPr="000D167D">
        <w:rPr>
          <w:rFonts w:ascii="Times New Roman" w:hAnsi="Times New Roman"/>
        </w:rPr>
        <w:t>)</w:t>
      </w:r>
      <w:r w:rsidR="00A12B83" w:rsidRPr="000D167D">
        <w:rPr>
          <w:rFonts w:ascii="Times New Roman" w:hAnsi="Times New Roman"/>
        </w:rPr>
        <w:tab/>
        <w:t>Взаємовідносини ПАТ «Розрахунковий центр» з учасниками клірингу – торгівцями цінних паперів у частині вартості послуги з обслуговування клірингового рахунку аналізувалися в період 2016 – 2018 років. У зазначений період ринок послуг із клірингового обслуговування на фондовому ринку мав сталу структуру.</w:t>
      </w:r>
    </w:p>
    <w:p w:rsidR="00A12B83" w:rsidRPr="000D167D" w:rsidRDefault="00B02B9D" w:rsidP="00A12B83">
      <w:pPr>
        <w:spacing w:line="240" w:lineRule="atLeast"/>
        <w:ind w:left="720" w:hanging="720"/>
        <w:jc w:val="both"/>
        <w:rPr>
          <w:rFonts w:ascii="Times New Roman" w:hAnsi="Times New Roman"/>
        </w:rPr>
      </w:pPr>
      <w:r>
        <w:rPr>
          <w:rFonts w:ascii="Times New Roman" w:hAnsi="Times New Roman"/>
        </w:rPr>
        <w:t>(26</w:t>
      </w:r>
      <w:r w:rsidR="00A12B83" w:rsidRPr="000D167D">
        <w:rPr>
          <w:rFonts w:ascii="Times New Roman" w:hAnsi="Times New Roman"/>
        </w:rPr>
        <w:t>)</w:t>
      </w:r>
      <w:r w:rsidR="00A12B83" w:rsidRPr="000D167D">
        <w:rPr>
          <w:rFonts w:ascii="Times New Roman" w:hAnsi="Times New Roman"/>
          <w:b/>
        </w:rPr>
        <w:tab/>
      </w:r>
      <w:r w:rsidR="00A12B83" w:rsidRPr="000D167D">
        <w:rPr>
          <w:rFonts w:ascii="Times New Roman" w:hAnsi="Times New Roman"/>
        </w:rPr>
        <w:t>Отже, часовими межами ринку послуг із клірингового обслуговування на фондовому ринку є 2016 – 2018 роки.</w:t>
      </w:r>
    </w:p>
    <w:p w:rsidR="00A12B83" w:rsidRPr="000D167D" w:rsidRDefault="00A12B83" w:rsidP="00A12B83">
      <w:pPr>
        <w:spacing w:line="240" w:lineRule="atLeast"/>
        <w:ind w:left="720" w:hanging="720"/>
        <w:jc w:val="both"/>
        <w:rPr>
          <w:rFonts w:ascii="Times New Roman" w:hAnsi="Times New Roman"/>
        </w:rPr>
      </w:pPr>
    </w:p>
    <w:p w:rsidR="00A12B83" w:rsidRPr="000D167D" w:rsidRDefault="00A12B83" w:rsidP="00A12B83">
      <w:pPr>
        <w:spacing w:line="240" w:lineRule="atLeast"/>
        <w:ind w:left="748" w:hanging="748"/>
        <w:jc w:val="both"/>
        <w:rPr>
          <w:rFonts w:ascii="Times New Roman" w:hAnsi="Times New Roman"/>
        </w:rPr>
      </w:pPr>
      <w:r w:rsidRPr="000D167D">
        <w:rPr>
          <w:rFonts w:ascii="Times New Roman" w:hAnsi="Times New Roman"/>
          <w:b/>
        </w:rPr>
        <w:t>5.5.</w:t>
      </w:r>
      <w:r w:rsidRPr="000D167D">
        <w:rPr>
          <w:rFonts w:ascii="Times New Roman" w:hAnsi="Times New Roman"/>
          <w:b/>
        </w:rPr>
        <w:tab/>
        <w:t>Розрахунок частки суб’єктів господарювання на ринку</w:t>
      </w:r>
    </w:p>
    <w:p w:rsidR="00A12B83" w:rsidRPr="000D167D" w:rsidRDefault="00A12B83" w:rsidP="00A12B83">
      <w:pPr>
        <w:pStyle w:val="a"/>
        <w:numPr>
          <w:ilvl w:val="0"/>
          <w:numId w:val="0"/>
        </w:numPr>
        <w:spacing w:before="0" w:line="240" w:lineRule="atLeast"/>
        <w:ind w:left="709" w:hanging="709"/>
      </w:pPr>
      <w:r w:rsidRPr="000D167D">
        <w:t>(2</w:t>
      </w:r>
      <w:r w:rsidR="00B02B9D">
        <w:rPr>
          <w:lang w:val="uk-UA"/>
        </w:rPr>
        <w:t>7</w:t>
      </w:r>
      <w:r w:rsidRPr="000D167D">
        <w:t>)</w:t>
      </w:r>
      <w:r w:rsidRPr="000D167D">
        <w:tab/>
      </w:r>
      <w:r w:rsidRPr="000D167D">
        <w:rPr>
          <w:lang w:val="uk-UA"/>
        </w:rPr>
        <w:t xml:space="preserve">Відповідно до частини першої статті 12 Закону України «Про захист економічної конкуренції» суб’єкт господарювання займає монопольне (домінуюче) становище </w:t>
      </w:r>
      <w:proofErr w:type="gramStart"/>
      <w:r w:rsidRPr="000D167D">
        <w:rPr>
          <w:lang w:val="uk-UA"/>
        </w:rPr>
        <w:t>на</w:t>
      </w:r>
      <w:proofErr w:type="gramEnd"/>
      <w:r w:rsidRPr="000D167D">
        <w:rPr>
          <w:lang w:val="uk-UA"/>
        </w:rPr>
        <w:t xml:space="preserve"> ринку товару, якщо:</w:t>
      </w:r>
    </w:p>
    <w:p w:rsidR="00A12B83" w:rsidRPr="000D167D" w:rsidRDefault="00A12B83" w:rsidP="00A12B83">
      <w:pPr>
        <w:numPr>
          <w:ilvl w:val="0"/>
          <w:numId w:val="5"/>
        </w:numPr>
        <w:tabs>
          <w:tab w:val="left" w:pos="1066"/>
        </w:tabs>
        <w:suppressAutoHyphens/>
        <w:spacing w:line="240" w:lineRule="atLeast"/>
        <w:ind w:left="709" w:firstLine="0"/>
        <w:rPr>
          <w:rFonts w:ascii="Times New Roman" w:hAnsi="Times New Roman"/>
        </w:rPr>
      </w:pPr>
      <w:r w:rsidRPr="000D167D">
        <w:rPr>
          <w:rFonts w:ascii="Times New Roman" w:hAnsi="Times New Roman"/>
        </w:rPr>
        <w:t>на цьому ринку у нього немає жодного конкурента;</w:t>
      </w:r>
    </w:p>
    <w:p w:rsidR="00A12B83" w:rsidRPr="000D167D" w:rsidRDefault="00A12B83" w:rsidP="00A12B83">
      <w:pPr>
        <w:numPr>
          <w:ilvl w:val="0"/>
          <w:numId w:val="5"/>
        </w:numPr>
        <w:tabs>
          <w:tab w:val="left" w:pos="1066"/>
        </w:tabs>
        <w:suppressAutoHyphens/>
        <w:spacing w:line="240" w:lineRule="atLeast"/>
        <w:ind w:left="709" w:firstLine="0"/>
        <w:jc w:val="both"/>
        <w:rPr>
          <w:rFonts w:ascii="Times New Roman" w:hAnsi="Times New Roman"/>
        </w:rPr>
      </w:pPr>
      <w:r w:rsidRPr="000D167D">
        <w:rPr>
          <w:rFonts w:ascii="Times New Roman" w:hAnsi="Times New Roman"/>
        </w:rPr>
        <w:t xml:space="preserve">не зазнає значної конкуренції внаслідок обмеженості можливостей доступу інших суб’єктів господарювання щодо закупівлі сировини, матеріалів та збуту товарів, наявності бар’єрів для доступу на ринок інших суб’єктів господарювання, наявності пільг чи інших обставин. </w:t>
      </w:r>
    </w:p>
    <w:p w:rsidR="00A12B83" w:rsidRPr="000D167D" w:rsidRDefault="00B02B9D" w:rsidP="00A12B83">
      <w:pPr>
        <w:tabs>
          <w:tab w:val="left" w:pos="709"/>
        </w:tabs>
        <w:spacing w:line="240" w:lineRule="atLeast"/>
        <w:ind w:left="709" w:hanging="709"/>
        <w:jc w:val="both"/>
        <w:rPr>
          <w:rFonts w:ascii="Times New Roman" w:hAnsi="Times New Roman"/>
        </w:rPr>
      </w:pPr>
      <w:r>
        <w:rPr>
          <w:rFonts w:ascii="Times New Roman" w:hAnsi="Times New Roman"/>
        </w:rPr>
        <w:lastRenderedPageBreak/>
        <w:t xml:space="preserve"> (28</w:t>
      </w:r>
      <w:r w:rsidR="00A12B83" w:rsidRPr="000D167D">
        <w:rPr>
          <w:rFonts w:ascii="Times New Roman" w:hAnsi="Times New Roman"/>
        </w:rPr>
        <w:t>)</w:t>
      </w:r>
      <w:r w:rsidR="00A12B83" w:rsidRPr="000D167D">
        <w:rPr>
          <w:rFonts w:ascii="Times New Roman" w:hAnsi="Times New Roman"/>
        </w:rPr>
        <w:tab/>
        <w:t>Відповідно до вимог законодавства особами, які провадять клірингову діяльність, є клірингові установи та Розрахунковий центр з обслуговування договорів на фінансових ринках. Особа набуває статусу клірингової установи з дня отримання ліцензії на провадження клірингової діяльності та ліцензії Національного банку України на здійснення окремих банківських операцій у порядку, встановленому Національним банком України.</w:t>
      </w:r>
    </w:p>
    <w:p w:rsidR="00A12B83" w:rsidRPr="000D167D" w:rsidRDefault="00B02B9D" w:rsidP="00A12B83">
      <w:pPr>
        <w:spacing w:line="240" w:lineRule="atLeast"/>
        <w:ind w:left="748" w:hanging="748"/>
        <w:jc w:val="both"/>
        <w:rPr>
          <w:rFonts w:ascii="Times New Roman" w:hAnsi="Times New Roman"/>
        </w:rPr>
      </w:pPr>
      <w:r>
        <w:rPr>
          <w:rFonts w:ascii="Times New Roman" w:hAnsi="Times New Roman"/>
        </w:rPr>
        <w:t>(29</w:t>
      </w:r>
      <w:r w:rsidR="00A12B83" w:rsidRPr="000D167D">
        <w:rPr>
          <w:rFonts w:ascii="Times New Roman" w:hAnsi="Times New Roman"/>
        </w:rPr>
        <w:t>)</w:t>
      </w:r>
      <w:r w:rsidR="00A12B83" w:rsidRPr="000D167D">
        <w:rPr>
          <w:rFonts w:ascii="Times New Roman" w:hAnsi="Times New Roman"/>
        </w:rPr>
        <w:tab/>
        <w:t>ПАТ «Розрахунковий центр» є єдиним професійним учасником фондового ринку, який здійснює провадження професійної діяльності на фондовому ринку – клірингової діяльності (відповідно до рішення Комісії від 01.10.2013 № 2093                 ПАТ «Розрахунковий центр» отримано ліцензію на провадження професійної діяльності на фондовому ринку – клірингової діяльності)</w:t>
      </w:r>
      <w:r w:rsidR="00126536">
        <w:rPr>
          <w:rFonts w:ascii="Times New Roman" w:hAnsi="Times New Roman"/>
        </w:rPr>
        <w:t>.</w:t>
      </w:r>
      <w:r w:rsidR="00A12B83" w:rsidRPr="000D167D">
        <w:rPr>
          <w:rFonts w:ascii="Times New Roman" w:hAnsi="Times New Roman"/>
        </w:rPr>
        <w:t xml:space="preserve"> </w:t>
      </w:r>
    </w:p>
    <w:p w:rsidR="00A12B83" w:rsidRPr="000D167D" w:rsidRDefault="00A12B83" w:rsidP="00A12B83">
      <w:pPr>
        <w:spacing w:line="240" w:lineRule="atLeast"/>
        <w:ind w:left="748" w:hanging="748"/>
        <w:jc w:val="both"/>
        <w:rPr>
          <w:rFonts w:ascii="Times New Roman" w:hAnsi="Times New Roman"/>
        </w:rPr>
      </w:pPr>
      <w:r w:rsidRPr="000D167D">
        <w:rPr>
          <w:rFonts w:ascii="Times New Roman" w:hAnsi="Times New Roman"/>
        </w:rPr>
        <w:tab/>
        <w:t>За інформацією Комісії, інш</w:t>
      </w:r>
      <w:r w:rsidR="00126536">
        <w:rPr>
          <w:rFonts w:ascii="Times New Roman" w:hAnsi="Times New Roman"/>
        </w:rPr>
        <w:t>і</w:t>
      </w:r>
      <w:r w:rsidRPr="000D167D">
        <w:rPr>
          <w:rFonts w:ascii="Times New Roman" w:hAnsi="Times New Roman"/>
        </w:rPr>
        <w:t xml:space="preserve"> суб’єкти господарювання документ</w:t>
      </w:r>
      <w:r w:rsidR="00126536">
        <w:rPr>
          <w:rFonts w:ascii="Times New Roman" w:hAnsi="Times New Roman"/>
        </w:rPr>
        <w:t>ів</w:t>
      </w:r>
      <w:r w:rsidRPr="000D167D">
        <w:rPr>
          <w:rFonts w:ascii="Times New Roman" w:hAnsi="Times New Roman"/>
        </w:rPr>
        <w:t xml:space="preserve"> на отриманням ліцензії на провадження професійної діяльності на фондовому ринку – клірингової діяльності </w:t>
      </w:r>
      <w:r w:rsidR="00126536">
        <w:rPr>
          <w:rFonts w:ascii="Times New Roman" w:hAnsi="Times New Roman"/>
        </w:rPr>
        <w:t xml:space="preserve">– </w:t>
      </w:r>
      <w:r w:rsidRPr="000D167D">
        <w:rPr>
          <w:rFonts w:ascii="Times New Roman" w:hAnsi="Times New Roman"/>
        </w:rPr>
        <w:t xml:space="preserve">не надавали. </w:t>
      </w:r>
    </w:p>
    <w:p w:rsidR="00A12B83" w:rsidRPr="000D167D" w:rsidRDefault="00B02B9D" w:rsidP="00A12B83">
      <w:pPr>
        <w:spacing w:line="240" w:lineRule="atLeast"/>
        <w:ind w:left="748" w:hanging="748"/>
        <w:jc w:val="both"/>
        <w:rPr>
          <w:rFonts w:ascii="Times New Roman" w:hAnsi="Times New Roman"/>
          <w:lang w:val="ru-RU"/>
        </w:rPr>
      </w:pPr>
      <w:r>
        <w:rPr>
          <w:rFonts w:ascii="Times New Roman" w:hAnsi="Times New Roman"/>
        </w:rPr>
        <w:t>(30</w:t>
      </w:r>
      <w:r w:rsidR="00A12B83" w:rsidRPr="000D167D">
        <w:rPr>
          <w:rFonts w:ascii="Times New Roman" w:hAnsi="Times New Roman"/>
        </w:rPr>
        <w:t>)</w:t>
      </w:r>
      <w:r w:rsidR="00A12B83" w:rsidRPr="000D167D">
        <w:rPr>
          <w:rFonts w:ascii="Times New Roman" w:hAnsi="Times New Roman"/>
        </w:rPr>
        <w:tab/>
      </w:r>
      <w:r w:rsidR="00440817">
        <w:rPr>
          <w:rFonts w:ascii="Times New Roman" w:hAnsi="Times New Roman"/>
        </w:rPr>
        <w:t>Тобто</w:t>
      </w:r>
      <w:r w:rsidR="00A12B83" w:rsidRPr="000D167D">
        <w:rPr>
          <w:rFonts w:ascii="Times New Roman" w:hAnsi="Times New Roman"/>
        </w:rPr>
        <w:t xml:space="preserve">, ПАТ «Розрахунковий центр» на ринку послуг із клірингового обслуговування на фондовому ринку </w:t>
      </w:r>
      <w:r w:rsidR="00126536">
        <w:rPr>
          <w:rFonts w:ascii="Times New Roman" w:hAnsi="Times New Roman"/>
        </w:rPr>
        <w:t>в</w:t>
      </w:r>
      <w:r w:rsidR="00126536" w:rsidRPr="000D167D">
        <w:rPr>
          <w:rFonts w:ascii="Times New Roman" w:hAnsi="Times New Roman"/>
        </w:rPr>
        <w:t xml:space="preserve"> </w:t>
      </w:r>
      <w:r w:rsidR="00A12B83" w:rsidRPr="000D167D">
        <w:rPr>
          <w:rFonts w:ascii="Times New Roman" w:hAnsi="Times New Roman"/>
        </w:rPr>
        <w:t xml:space="preserve">період 2016 – 2018 років мало ринкову владу, а саме: здатність впливати на ціну </w:t>
      </w:r>
      <w:r w:rsidR="00126536">
        <w:rPr>
          <w:rFonts w:ascii="Times New Roman" w:hAnsi="Times New Roman"/>
        </w:rPr>
        <w:t>й</w:t>
      </w:r>
      <w:r w:rsidR="00126536" w:rsidRPr="000D167D">
        <w:rPr>
          <w:rFonts w:ascii="Times New Roman" w:hAnsi="Times New Roman"/>
        </w:rPr>
        <w:t xml:space="preserve"> </w:t>
      </w:r>
      <w:r w:rsidR="00A12B83" w:rsidRPr="000D167D">
        <w:rPr>
          <w:rFonts w:ascii="Times New Roman" w:hAnsi="Times New Roman"/>
        </w:rPr>
        <w:t>визначати інші умови обороту товару.</w:t>
      </w:r>
    </w:p>
    <w:p w:rsidR="00A12B83" w:rsidRDefault="00B02B9D" w:rsidP="00A12B83">
      <w:pPr>
        <w:spacing w:line="240" w:lineRule="atLeast"/>
        <w:ind w:left="748" w:hanging="748"/>
        <w:jc w:val="both"/>
        <w:rPr>
          <w:rFonts w:ascii="Times New Roman" w:hAnsi="Times New Roman"/>
        </w:rPr>
      </w:pPr>
      <w:r>
        <w:rPr>
          <w:rFonts w:ascii="Times New Roman" w:hAnsi="Times New Roman"/>
        </w:rPr>
        <w:t>(31</w:t>
      </w:r>
      <w:r w:rsidR="00A12B83" w:rsidRPr="000D167D">
        <w:rPr>
          <w:rFonts w:ascii="Times New Roman" w:hAnsi="Times New Roman"/>
        </w:rPr>
        <w:t>)  Отже, на ринку послуг</w:t>
      </w:r>
      <w:r w:rsidR="00A12B83" w:rsidRPr="000D167D">
        <w:rPr>
          <w:rFonts w:ascii="Times New Roman" w:hAnsi="Times New Roman"/>
          <w:b/>
        </w:rPr>
        <w:t xml:space="preserve"> </w:t>
      </w:r>
      <w:r w:rsidR="00A12B83" w:rsidRPr="000D167D">
        <w:rPr>
          <w:rFonts w:ascii="Times New Roman" w:hAnsi="Times New Roman"/>
        </w:rPr>
        <w:t>із клірингового обслуговування на фондовому ринку</w:t>
      </w:r>
      <w:r w:rsidR="00A12B83" w:rsidRPr="000D167D">
        <w:rPr>
          <w:rFonts w:ascii="Times New Roman" w:hAnsi="Times New Roman"/>
          <w:b/>
        </w:rPr>
        <w:t xml:space="preserve"> </w:t>
      </w:r>
      <w:r w:rsidR="00A12B83" w:rsidRPr="000D167D">
        <w:rPr>
          <w:rFonts w:ascii="Times New Roman" w:hAnsi="Times New Roman"/>
          <w:b/>
        </w:rPr>
        <w:br/>
      </w:r>
      <w:r w:rsidR="00A12B83" w:rsidRPr="000D167D">
        <w:rPr>
          <w:rFonts w:ascii="Times New Roman" w:hAnsi="Times New Roman"/>
        </w:rPr>
        <w:t>ПАТ «Розрахунковий центр»</w:t>
      </w:r>
      <w:r w:rsidR="00A12B83" w:rsidRPr="000D167D">
        <w:rPr>
          <w:rFonts w:ascii="Times New Roman" w:hAnsi="Times New Roman"/>
          <w:b/>
        </w:rPr>
        <w:t xml:space="preserve"> </w:t>
      </w:r>
      <w:r w:rsidR="00A12B83" w:rsidRPr="000D167D">
        <w:rPr>
          <w:rFonts w:ascii="Times New Roman" w:hAnsi="Times New Roman"/>
        </w:rPr>
        <w:t>у період 2016 – 2018 років</w:t>
      </w:r>
      <w:r w:rsidR="00A12B83" w:rsidRPr="000D167D">
        <w:rPr>
          <w:rFonts w:ascii="Times New Roman" w:hAnsi="Times New Roman"/>
          <w:b/>
        </w:rPr>
        <w:t xml:space="preserve"> займало монопольне (домінуюче) становище із часткою 100 відсотків</w:t>
      </w:r>
      <w:r w:rsidR="00A12B83" w:rsidRPr="000D167D">
        <w:rPr>
          <w:rFonts w:ascii="Times New Roman" w:hAnsi="Times New Roman"/>
        </w:rPr>
        <w:t>.</w:t>
      </w:r>
    </w:p>
    <w:p w:rsidR="00840E1B" w:rsidRPr="000D167D" w:rsidRDefault="00840E1B" w:rsidP="00A12B83">
      <w:pPr>
        <w:spacing w:line="240" w:lineRule="atLeast"/>
        <w:ind w:left="748" w:hanging="748"/>
        <w:jc w:val="both"/>
        <w:rPr>
          <w:rFonts w:ascii="Times New Roman" w:hAnsi="Times New Roman"/>
        </w:rPr>
      </w:pPr>
    </w:p>
    <w:p w:rsidR="00A12B83" w:rsidRPr="000D167D" w:rsidRDefault="00A12B83" w:rsidP="00A12B83">
      <w:pPr>
        <w:spacing w:line="240" w:lineRule="atLeast"/>
        <w:ind w:left="748" w:hanging="748"/>
        <w:jc w:val="both"/>
        <w:rPr>
          <w:rFonts w:ascii="Times New Roman" w:hAnsi="Times New Roman"/>
          <w:b/>
        </w:rPr>
      </w:pPr>
      <w:r w:rsidRPr="000D167D">
        <w:rPr>
          <w:rFonts w:ascii="Times New Roman" w:hAnsi="Times New Roman"/>
          <w:b/>
        </w:rPr>
        <w:t>6.</w:t>
      </w:r>
      <w:r w:rsidRPr="000D167D">
        <w:rPr>
          <w:rFonts w:ascii="Times New Roman" w:hAnsi="Times New Roman"/>
        </w:rPr>
        <w:t xml:space="preserve"> </w:t>
      </w:r>
      <w:r w:rsidRPr="000D167D">
        <w:rPr>
          <w:rFonts w:ascii="Times New Roman" w:hAnsi="Times New Roman"/>
        </w:rPr>
        <w:tab/>
      </w:r>
      <w:r w:rsidRPr="000D167D">
        <w:rPr>
          <w:rFonts w:ascii="Times New Roman" w:hAnsi="Times New Roman"/>
          <w:b/>
        </w:rPr>
        <w:t>ОБСТАВИНИ СПРАВИ ЗА РЕЗУЛЬТАТАМИ ПРОВЕДЕНОГО РОЗСЛІДУВАННЯ</w:t>
      </w:r>
    </w:p>
    <w:p w:rsidR="00A12B83" w:rsidRPr="000D167D" w:rsidRDefault="00A12B83" w:rsidP="00A12B83">
      <w:pPr>
        <w:spacing w:line="240" w:lineRule="atLeast"/>
        <w:ind w:left="748" w:hanging="748"/>
        <w:jc w:val="both"/>
        <w:rPr>
          <w:rFonts w:ascii="Times New Roman" w:hAnsi="Times New Roman"/>
        </w:rPr>
      </w:pPr>
    </w:p>
    <w:p w:rsidR="00FC7A47" w:rsidRPr="000D167D" w:rsidRDefault="00B02B9D" w:rsidP="00A12B83">
      <w:pPr>
        <w:spacing w:line="240" w:lineRule="atLeast"/>
        <w:ind w:left="748" w:hanging="748"/>
        <w:jc w:val="both"/>
        <w:rPr>
          <w:rFonts w:ascii="Times New Roman" w:hAnsi="Times New Roman"/>
        </w:rPr>
      </w:pPr>
      <w:r>
        <w:rPr>
          <w:rFonts w:ascii="Times New Roman" w:hAnsi="Times New Roman"/>
        </w:rPr>
        <w:t>(32</w:t>
      </w:r>
      <w:r w:rsidR="00A12B83" w:rsidRPr="000D167D">
        <w:rPr>
          <w:rFonts w:ascii="Times New Roman" w:hAnsi="Times New Roman"/>
        </w:rPr>
        <w:t>)</w:t>
      </w:r>
      <w:r w:rsidR="00A12B83" w:rsidRPr="000D167D">
        <w:rPr>
          <w:rFonts w:ascii="Times New Roman" w:hAnsi="Times New Roman"/>
        </w:rPr>
        <w:tab/>
      </w:r>
      <w:r w:rsidR="00C04B9D">
        <w:rPr>
          <w:rFonts w:ascii="Times New Roman" w:hAnsi="Times New Roman"/>
        </w:rPr>
        <w:t>Комітет під час розслідування справи проводив а</w:t>
      </w:r>
      <w:r w:rsidR="00FC7A47" w:rsidRPr="000D167D">
        <w:rPr>
          <w:rFonts w:ascii="Times New Roman" w:hAnsi="Times New Roman"/>
        </w:rPr>
        <w:t xml:space="preserve">наліз собівартості </w:t>
      </w:r>
      <w:r w:rsidR="00C04B9D" w:rsidRPr="00C04B9D">
        <w:rPr>
          <w:rFonts w:ascii="Times New Roman" w:hAnsi="Times New Roman"/>
        </w:rPr>
        <w:t xml:space="preserve">послуг із клірингового обслуговування </w:t>
      </w:r>
      <w:r w:rsidR="00C04B9D">
        <w:rPr>
          <w:rFonts w:ascii="Times New Roman" w:hAnsi="Times New Roman"/>
        </w:rPr>
        <w:t>та встанов</w:t>
      </w:r>
      <w:r w:rsidR="00126536">
        <w:rPr>
          <w:rFonts w:ascii="Times New Roman" w:hAnsi="Times New Roman"/>
        </w:rPr>
        <w:t>ив</w:t>
      </w:r>
      <w:r w:rsidR="00C04B9D">
        <w:rPr>
          <w:rFonts w:ascii="Times New Roman" w:hAnsi="Times New Roman"/>
        </w:rPr>
        <w:t xml:space="preserve"> </w:t>
      </w:r>
      <w:r w:rsidR="00FC7A47" w:rsidRPr="000D167D">
        <w:rPr>
          <w:rFonts w:ascii="Times New Roman" w:hAnsi="Times New Roman"/>
        </w:rPr>
        <w:t xml:space="preserve">обґрунтованість включення складових витрат до вартості послуг із клірингового обслуговування. При цьому вартість послуг, яку сплачують клієнти, встановлена у </w:t>
      </w:r>
      <w:r w:rsidR="00126536" w:rsidRPr="000D167D">
        <w:rPr>
          <w:rFonts w:ascii="Times New Roman" w:hAnsi="Times New Roman"/>
        </w:rPr>
        <w:t xml:space="preserve">меншому </w:t>
      </w:r>
      <w:r w:rsidR="00FC7A47" w:rsidRPr="000D167D">
        <w:rPr>
          <w:rFonts w:ascii="Times New Roman" w:hAnsi="Times New Roman"/>
        </w:rPr>
        <w:t>розмірі</w:t>
      </w:r>
      <w:r w:rsidR="00126536">
        <w:rPr>
          <w:rFonts w:ascii="Times New Roman" w:hAnsi="Times New Roman"/>
        </w:rPr>
        <w:t>,</w:t>
      </w:r>
      <w:r w:rsidR="00FC7A47" w:rsidRPr="000D167D">
        <w:rPr>
          <w:rFonts w:ascii="Times New Roman" w:hAnsi="Times New Roman"/>
        </w:rPr>
        <w:t xml:space="preserve"> ніж собівартість. </w:t>
      </w:r>
    </w:p>
    <w:p w:rsidR="002A4345" w:rsidRPr="000D167D" w:rsidRDefault="00B02B9D" w:rsidP="00A12B83">
      <w:pPr>
        <w:spacing w:line="240" w:lineRule="atLeast"/>
        <w:ind w:left="748" w:hanging="748"/>
        <w:jc w:val="both"/>
        <w:rPr>
          <w:rFonts w:ascii="Times New Roman" w:hAnsi="Times New Roman"/>
        </w:rPr>
      </w:pPr>
      <w:r>
        <w:rPr>
          <w:rFonts w:ascii="Times New Roman" w:hAnsi="Times New Roman"/>
        </w:rPr>
        <w:t>(3</w:t>
      </w:r>
      <w:r w:rsidR="003D4E66">
        <w:rPr>
          <w:rFonts w:ascii="Times New Roman" w:hAnsi="Times New Roman"/>
        </w:rPr>
        <w:t>3</w:t>
      </w:r>
      <w:r w:rsidR="00FC7A47" w:rsidRPr="000D167D">
        <w:rPr>
          <w:rFonts w:ascii="Times New Roman" w:hAnsi="Times New Roman"/>
        </w:rPr>
        <w:t>)</w:t>
      </w:r>
      <w:r w:rsidR="00FC7A47" w:rsidRPr="000D167D">
        <w:rPr>
          <w:rFonts w:ascii="Times New Roman" w:hAnsi="Times New Roman"/>
        </w:rPr>
        <w:tab/>
        <w:t xml:space="preserve">Тобто, </w:t>
      </w:r>
      <w:r w:rsidR="001D5A4A" w:rsidRPr="000D167D">
        <w:rPr>
          <w:rFonts w:ascii="Times New Roman" w:hAnsi="Times New Roman"/>
        </w:rPr>
        <w:t xml:space="preserve">послуги із клірингового обслуговування надавалися з </w:t>
      </w:r>
      <w:r w:rsidR="00A76167" w:rsidRPr="000D167D">
        <w:rPr>
          <w:rFonts w:ascii="Times New Roman" w:hAnsi="Times New Roman"/>
        </w:rPr>
        <w:t>від’ємною</w:t>
      </w:r>
      <w:r w:rsidR="001D5A4A" w:rsidRPr="000D167D">
        <w:rPr>
          <w:rFonts w:ascii="Times New Roman" w:hAnsi="Times New Roman"/>
        </w:rPr>
        <w:t xml:space="preserve"> рентабельністю. У період 2016 – 2018 років показники </w:t>
      </w:r>
      <w:r w:rsidR="00A76167" w:rsidRPr="000D167D">
        <w:rPr>
          <w:rFonts w:ascii="Times New Roman" w:hAnsi="Times New Roman"/>
        </w:rPr>
        <w:t xml:space="preserve">рентабельності </w:t>
      </w:r>
      <w:r w:rsidR="00126536">
        <w:rPr>
          <w:rFonts w:ascii="Times New Roman" w:hAnsi="Times New Roman"/>
        </w:rPr>
        <w:t>становили</w:t>
      </w:r>
      <w:r w:rsidR="00126536" w:rsidRPr="000D167D">
        <w:rPr>
          <w:rFonts w:ascii="Times New Roman" w:hAnsi="Times New Roman"/>
        </w:rPr>
        <w:t xml:space="preserve"> </w:t>
      </w:r>
      <w:r w:rsidR="001D5A4A" w:rsidRPr="000D167D">
        <w:rPr>
          <w:rFonts w:ascii="Times New Roman" w:hAnsi="Times New Roman"/>
        </w:rPr>
        <w:t>від «-22,23%» до «-38,64%»</w:t>
      </w:r>
      <w:r w:rsidR="002A4345" w:rsidRPr="000D167D">
        <w:rPr>
          <w:rFonts w:ascii="Times New Roman" w:hAnsi="Times New Roman"/>
        </w:rPr>
        <w:t>.</w:t>
      </w:r>
      <w:r w:rsidR="00C04B9D">
        <w:rPr>
          <w:rFonts w:ascii="Times New Roman" w:hAnsi="Times New Roman"/>
        </w:rPr>
        <w:t xml:space="preserve"> За поясненням </w:t>
      </w:r>
      <w:r w:rsidR="00126536">
        <w:rPr>
          <w:rFonts w:ascii="Times New Roman" w:hAnsi="Times New Roman"/>
        </w:rPr>
        <w:t>в</w:t>
      </w:r>
      <w:r w:rsidR="00C04B9D">
        <w:rPr>
          <w:rFonts w:ascii="Times New Roman" w:hAnsi="Times New Roman"/>
        </w:rPr>
        <w:t>ідповідача, зростання тарифів на зазначені послуги зумовлен</w:t>
      </w:r>
      <w:r w:rsidR="00126536">
        <w:rPr>
          <w:rFonts w:ascii="Times New Roman" w:hAnsi="Times New Roman"/>
        </w:rPr>
        <w:t>о</w:t>
      </w:r>
      <w:r w:rsidR="00C04B9D">
        <w:rPr>
          <w:rFonts w:ascii="Times New Roman" w:hAnsi="Times New Roman"/>
        </w:rPr>
        <w:t xml:space="preserve"> прагненням </w:t>
      </w:r>
      <w:r w:rsidR="00126536">
        <w:rPr>
          <w:rFonts w:ascii="Times New Roman" w:hAnsi="Times New Roman"/>
        </w:rPr>
        <w:t xml:space="preserve">товариства </w:t>
      </w:r>
      <w:r w:rsidR="00C04B9D">
        <w:rPr>
          <w:rFonts w:ascii="Times New Roman" w:hAnsi="Times New Roman"/>
        </w:rPr>
        <w:t>поступово досягти режиму беззбитковості за виконання клірингових послуг, особливо в умовах зниження обсягів доходів, отриманих від операцій міжбанківського кредитування, за рахунок яких покривалися витрати на надання клірингових послуг (</w:t>
      </w:r>
      <w:r w:rsidR="00126536">
        <w:rPr>
          <w:rFonts w:ascii="Times New Roman" w:hAnsi="Times New Roman"/>
        </w:rPr>
        <w:t>у</w:t>
      </w:r>
      <w:r w:rsidR="00C04B9D">
        <w:rPr>
          <w:rFonts w:ascii="Times New Roman" w:hAnsi="Times New Roman"/>
        </w:rPr>
        <w:t xml:space="preserve"> результаті прийняття рішення Комісією Національного банку України з питань нагляду та регулювання діяльності банків, нагляду (</w:t>
      </w:r>
      <w:proofErr w:type="spellStart"/>
      <w:r w:rsidR="00C04B9D">
        <w:rPr>
          <w:rFonts w:ascii="Times New Roman" w:hAnsi="Times New Roman"/>
        </w:rPr>
        <w:t>оверсайта</w:t>
      </w:r>
      <w:proofErr w:type="spellEnd"/>
      <w:r w:rsidR="00C04B9D">
        <w:rPr>
          <w:rFonts w:ascii="Times New Roman" w:hAnsi="Times New Roman"/>
        </w:rPr>
        <w:t xml:space="preserve">) платіжних систем від 27.04.2015 № 180, яким обмежено перелік послуг, </w:t>
      </w:r>
      <w:r w:rsidR="00126536">
        <w:rPr>
          <w:rFonts w:ascii="Times New Roman" w:hAnsi="Times New Roman"/>
        </w:rPr>
        <w:t>що</w:t>
      </w:r>
      <w:r w:rsidR="00C04B9D">
        <w:rPr>
          <w:rFonts w:ascii="Times New Roman" w:hAnsi="Times New Roman"/>
        </w:rPr>
        <w:t xml:space="preserve"> має право надавати </w:t>
      </w:r>
      <w:r w:rsidR="00C04B9D" w:rsidRPr="00C04B9D">
        <w:rPr>
          <w:rFonts w:ascii="Times New Roman" w:hAnsi="Times New Roman"/>
        </w:rPr>
        <w:t>ПАТ «Розрахунковий центр»</w:t>
      </w:r>
      <w:r w:rsidR="00C04B9D">
        <w:rPr>
          <w:rFonts w:ascii="Times New Roman" w:hAnsi="Times New Roman"/>
        </w:rPr>
        <w:t>. Зростання тарифів також зумовлене включенням вартості окремих клірингових операцій до вартості послуг з ведення клірингового рахунку.</w:t>
      </w:r>
    </w:p>
    <w:p w:rsidR="002A4345" w:rsidRDefault="00B02B9D" w:rsidP="00A12B83">
      <w:pPr>
        <w:spacing w:line="240" w:lineRule="atLeast"/>
        <w:ind w:left="748" w:hanging="748"/>
        <w:jc w:val="both"/>
        <w:rPr>
          <w:rFonts w:ascii="Times New Roman" w:hAnsi="Times New Roman"/>
        </w:rPr>
      </w:pPr>
      <w:r>
        <w:rPr>
          <w:rFonts w:ascii="Times New Roman" w:hAnsi="Times New Roman"/>
        </w:rPr>
        <w:t>(3</w:t>
      </w:r>
      <w:r w:rsidR="003D4E66">
        <w:rPr>
          <w:rFonts w:ascii="Times New Roman" w:hAnsi="Times New Roman"/>
        </w:rPr>
        <w:t>4</w:t>
      </w:r>
      <w:r w:rsidR="002A4345" w:rsidRPr="000D167D">
        <w:rPr>
          <w:rFonts w:ascii="Times New Roman" w:hAnsi="Times New Roman"/>
        </w:rPr>
        <w:t>)</w:t>
      </w:r>
      <w:r w:rsidR="002A4345" w:rsidRPr="000D167D">
        <w:rPr>
          <w:rFonts w:ascii="Times New Roman" w:hAnsi="Times New Roman"/>
        </w:rPr>
        <w:tab/>
      </w:r>
      <w:r w:rsidR="00374B63">
        <w:rPr>
          <w:rFonts w:ascii="Times New Roman" w:hAnsi="Times New Roman"/>
        </w:rPr>
        <w:t>Тобто</w:t>
      </w:r>
      <w:r w:rsidR="002A4345" w:rsidRPr="000D167D">
        <w:rPr>
          <w:rFonts w:ascii="Times New Roman" w:hAnsi="Times New Roman"/>
        </w:rPr>
        <w:t>, послуг</w:t>
      </w:r>
      <w:r w:rsidR="00C80CBE">
        <w:rPr>
          <w:rFonts w:ascii="Times New Roman" w:hAnsi="Times New Roman"/>
        </w:rPr>
        <w:t>и</w:t>
      </w:r>
      <w:r w:rsidR="002A4345" w:rsidRPr="000D167D">
        <w:rPr>
          <w:rFonts w:ascii="Times New Roman" w:hAnsi="Times New Roman"/>
        </w:rPr>
        <w:t xml:space="preserve"> з клірингового обслуговування, які надає ПАТ «Розрахунковий центр»</w:t>
      </w:r>
      <w:r w:rsidR="00080CE6">
        <w:rPr>
          <w:rFonts w:ascii="Times New Roman" w:hAnsi="Times New Roman"/>
        </w:rPr>
        <w:t>,</w:t>
      </w:r>
      <w:r w:rsidR="002A4345" w:rsidRPr="000D167D">
        <w:rPr>
          <w:rFonts w:ascii="Times New Roman" w:hAnsi="Times New Roman"/>
        </w:rPr>
        <w:t xml:space="preserve"> є збитковими, а витрати з їх надання покриваються з інших джерел доходів.</w:t>
      </w:r>
    </w:p>
    <w:p w:rsidR="00840E1B" w:rsidRPr="000D167D" w:rsidRDefault="00840E1B" w:rsidP="00A12B83">
      <w:pPr>
        <w:spacing w:line="240" w:lineRule="atLeast"/>
        <w:ind w:left="748" w:hanging="748"/>
        <w:jc w:val="both"/>
        <w:rPr>
          <w:rFonts w:ascii="Times New Roman" w:hAnsi="Times New Roman"/>
        </w:rPr>
      </w:pPr>
      <w:r>
        <w:rPr>
          <w:rFonts w:ascii="Times New Roman" w:hAnsi="Times New Roman"/>
        </w:rPr>
        <w:t>(</w:t>
      </w:r>
      <w:r w:rsidR="00B02B9D">
        <w:rPr>
          <w:rFonts w:ascii="Times New Roman" w:hAnsi="Times New Roman"/>
        </w:rPr>
        <w:t>3</w:t>
      </w:r>
      <w:r w:rsidR="003D4E66">
        <w:rPr>
          <w:rFonts w:ascii="Times New Roman" w:hAnsi="Times New Roman"/>
        </w:rPr>
        <w:t>5</w:t>
      </w:r>
      <w:r>
        <w:rPr>
          <w:rFonts w:ascii="Times New Roman" w:hAnsi="Times New Roman"/>
        </w:rPr>
        <w:t xml:space="preserve">) </w:t>
      </w:r>
      <w:r>
        <w:rPr>
          <w:rFonts w:ascii="Times New Roman" w:hAnsi="Times New Roman"/>
        </w:rPr>
        <w:tab/>
        <w:t>Отже, ознак порушення законодавства про захист економічної конкуренції у вигляді зловживання монопольним (домінуючим) становищем шляхом встановлення необґрунтованої вартості послуг</w:t>
      </w:r>
      <w:r w:rsidRPr="00840E1B">
        <w:t xml:space="preserve"> </w:t>
      </w:r>
      <w:r w:rsidRPr="00840E1B">
        <w:rPr>
          <w:rFonts w:ascii="Times New Roman" w:hAnsi="Times New Roman"/>
        </w:rPr>
        <w:t>із клірингового обслуговування на фондовому ринку</w:t>
      </w:r>
      <w:r>
        <w:rPr>
          <w:rFonts w:ascii="Times New Roman" w:hAnsi="Times New Roman"/>
        </w:rPr>
        <w:t xml:space="preserve"> </w:t>
      </w:r>
      <w:r w:rsidR="00080CE6">
        <w:rPr>
          <w:rFonts w:ascii="Times New Roman" w:hAnsi="Times New Roman"/>
        </w:rPr>
        <w:t xml:space="preserve">в </w:t>
      </w:r>
      <w:r>
        <w:rPr>
          <w:rFonts w:ascii="Times New Roman" w:hAnsi="Times New Roman"/>
        </w:rPr>
        <w:t>діях ПАТ «Розрахунковий центр»</w:t>
      </w:r>
      <w:r w:rsidR="00B02B9D">
        <w:rPr>
          <w:rFonts w:ascii="Times New Roman" w:hAnsi="Times New Roman"/>
        </w:rPr>
        <w:t xml:space="preserve"> </w:t>
      </w:r>
      <w:r w:rsidR="006865CB">
        <w:rPr>
          <w:rFonts w:ascii="Times New Roman" w:hAnsi="Times New Roman"/>
        </w:rPr>
        <w:t>не виявлено</w:t>
      </w:r>
      <w:r w:rsidR="00B02B9D">
        <w:rPr>
          <w:rFonts w:ascii="Times New Roman" w:hAnsi="Times New Roman"/>
        </w:rPr>
        <w:t>.</w:t>
      </w:r>
    </w:p>
    <w:p w:rsidR="00A76167" w:rsidRPr="000D167D" w:rsidRDefault="00A76167" w:rsidP="00A76167">
      <w:pPr>
        <w:spacing w:line="240" w:lineRule="atLeast"/>
        <w:ind w:left="748" w:hanging="748"/>
        <w:jc w:val="both"/>
        <w:rPr>
          <w:rFonts w:ascii="Times New Roman" w:hAnsi="Times New Roman"/>
        </w:rPr>
      </w:pPr>
      <w:r w:rsidRPr="000D167D">
        <w:rPr>
          <w:rFonts w:ascii="Times New Roman" w:hAnsi="Times New Roman"/>
        </w:rPr>
        <w:t>(3</w:t>
      </w:r>
      <w:r w:rsidR="003D4E66">
        <w:rPr>
          <w:rFonts w:ascii="Times New Roman" w:hAnsi="Times New Roman"/>
        </w:rPr>
        <w:t>6</w:t>
      </w:r>
      <w:r w:rsidRPr="000D167D">
        <w:rPr>
          <w:rFonts w:ascii="Times New Roman" w:hAnsi="Times New Roman"/>
        </w:rPr>
        <w:t>)</w:t>
      </w:r>
      <w:r w:rsidRPr="000D167D">
        <w:rPr>
          <w:rFonts w:ascii="Times New Roman" w:hAnsi="Times New Roman"/>
        </w:rPr>
        <w:tab/>
        <w:t xml:space="preserve">Разом </w:t>
      </w:r>
      <w:r w:rsidR="00080CE6">
        <w:rPr>
          <w:rFonts w:ascii="Times New Roman" w:hAnsi="Times New Roman"/>
        </w:rPr>
        <w:t>і</w:t>
      </w:r>
      <w:r w:rsidRPr="000D167D">
        <w:rPr>
          <w:rFonts w:ascii="Times New Roman" w:hAnsi="Times New Roman"/>
        </w:rPr>
        <w:t>з тим за результатами розслідування справи встановлено, що</w:t>
      </w:r>
      <w:r w:rsidR="00D8497D">
        <w:rPr>
          <w:rFonts w:ascii="Times New Roman" w:hAnsi="Times New Roman"/>
        </w:rPr>
        <w:t xml:space="preserve"> </w:t>
      </w:r>
      <w:r w:rsidR="00080CE6" w:rsidRPr="000D167D">
        <w:rPr>
          <w:rFonts w:ascii="Times New Roman" w:hAnsi="Times New Roman"/>
        </w:rPr>
        <w:t>ПАТ</w:t>
      </w:r>
      <w:r w:rsidR="00080CE6">
        <w:rPr>
          <w:rFonts w:ascii="Times New Roman" w:hAnsi="Times New Roman"/>
        </w:rPr>
        <w:t> </w:t>
      </w:r>
      <w:r w:rsidRPr="000D167D">
        <w:rPr>
          <w:rFonts w:ascii="Times New Roman" w:hAnsi="Times New Roman"/>
        </w:rPr>
        <w:t>«Розрахунковий центр» останні</w:t>
      </w:r>
      <w:r w:rsidR="00080CE6">
        <w:rPr>
          <w:rFonts w:ascii="Times New Roman" w:hAnsi="Times New Roman"/>
        </w:rPr>
        <w:t>ми</w:t>
      </w:r>
      <w:r w:rsidRPr="000D167D">
        <w:rPr>
          <w:rFonts w:ascii="Times New Roman" w:hAnsi="Times New Roman"/>
        </w:rPr>
        <w:t xml:space="preserve"> рок</w:t>
      </w:r>
      <w:r w:rsidR="00080CE6">
        <w:rPr>
          <w:rFonts w:ascii="Times New Roman" w:hAnsi="Times New Roman"/>
        </w:rPr>
        <w:t>ами</w:t>
      </w:r>
      <w:r w:rsidRPr="000D167D">
        <w:rPr>
          <w:rFonts w:ascii="Times New Roman" w:hAnsi="Times New Roman"/>
        </w:rPr>
        <w:t xml:space="preserve"> неодноразово змінюва</w:t>
      </w:r>
      <w:r w:rsidR="00080CE6">
        <w:rPr>
          <w:rFonts w:ascii="Times New Roman" w:hAnsi="Times New Roman"/>
        </w:rPr>
        <w:t>ло</w:t>
      </w:r>
      <w:r w:rsidRPr="000D167D">
        <w:rPr>
          <w:rFonts w:ascii="Times New Roman" w:hAnsi="Times New Roman"/>
        </w:rPr>
        <w:t xml:space="preserve"> підходи до встановлення вартості послуги з обслуговування клірингового рахунку, зокрема здійснюючи тарифікацію окремих послуг, які можуть бути складовою основної послуги.</w:t>
      </w:r>
    </w:p>
    <w:p w:rsidR="00A76167" w:rsidRPr="000D167D" w:rsidRDefault="00A76167" w:rsidP="00A76167">
      <w:pPr>
        <w:spacing w:line="240" w:lineRule="atLeast"/>
        <w:ind w:left="748" w:hanging="748"/>
        <w:jc w:val="both"/>
        <w:rPr>
          <w:rFonts w:ascii="Times New Roman" w:hAnsi="Times New Roman"/>
        </w:rPr>
      </w:pPr>
      <w:r w:rsidRPr="000D167D">
        <w:rPr>
          <w:rFonts w:ascii="Times New Roman" w:hAnsi="Times New Roman"/>
        </w:rPr>
        <w:lastRenderedPageBreak/>
        <w:t>(3</w:t>
      </w:r>
      <w:r w:rsidR="003D4E66">
        <w:rPr>
          <w:rFonts w:ascii="Times New Roman" w:hAnsi="Times New Roman"/>
        </w:rPr>
        <w:t>7</w:t>
      </w:r>
      <w:r w:rsidRPr="000D167D">
        <w:rPr>
          <w:rFonts w:ascii="Times New Roman" w:hAnsi="Times New Roman"/>
        </w:rPr>
        <w:t>)</w:t>
      </w:r>
      <w:r w:rsidRPr="000D167D">
        <w:rPr>
          <w:rFonts w:ascii="Times New Roman" w:hAnsi="Times New Roman"/>
        </w:rPr>
        <w:tab/>
        <w:t>У період 2014 – 2016 років вартість послуги з обслуговування клірингового рахунку становила 2 500 грн за місяць, додатково тарифікувалася вартість здійснених трансакцій на рахунку (від 0,1 до 40 грн за трансакцію).</w:t>
      </w:r>
    </w:p>
    <w:p w:rsidR="00A76167" w:rsidRPr="000D167D" w:rsidRDefault="00A76167" w:rsidP="00A76167">
      <w:pPr>
        <w:spacing w:line="240" w:lineRule="atLeast"/>
        <w:ind w:left="748" w:hanging="748"/>
        <w:jc w:val="both"/>
        <w:rPr>
          <w:rFonts w:ascii="Times New Roman" w:hAnsi="Times New Roman"/>
        </w:rPr>
      </w:pPr>
      <w:r w:rsidRPr="000D167D">
        <w:rPr>
          <w:rFonts w:ascii="Times New Roman" w:hAnsi="Times New Roman"/>
        </w:rPr>
        <w:t>(3</w:t>
      </w:r>
      <w:r w:rsidR="003D4E66">
        <w:rPr>
          <w:rFonts w:ascii="Times New Roman" w:hAnsi="Times New Roman"/>
        </w:rPr>
        <w:t>8</w:t>
      </w:r>
      <w:r w:rsidRPr="000D167D">
        <w:rPr>
          <w:rFonts w:ascii="Times New Roman" w:hAnsi="Times New Roman"/>
        </w:rPr>
        <w:t>)</w:t>
      </w:r>
      <w:r w:rsidRPr="000D167D">
        <w:rPr>
          <w:rFonts w:ascii="Times New Roman" w:hAnsi="Times New Roman"/>
        </w:rPr>
        <w:tab/>
        <w:t>З 04.01.2016 встановлено розмір тарифу за обслуговування клірингового рахунку на рівні 3 150 грн за місяць, здійснені трансакції окремо не тарифікувалися. При цьому до собівартості клірингових послуг включалися витрати на утримання персоналу, безпосередньо задіяного в наданні клірингових послуг</w:t>
      </w:r>
      <w:r w:rsidR="00080CE6">
        <w:rPr>
          <w:rFonts w:ascii="Times New Roman" w:hAnsi="Times New Roman"/>
        </w:rPr>
        <w:t>,</w:t>
      </w:r>
      <w:r w:rsidRPr="000D167D">
        <w:rPr>
          <w:rFonts w:ascii="Times New Roman" w:hAnsi="Times New Roman"/>
        </w:rPr>
        <w:t xml:space="preserve"> та накладні витрати (загальногосподарські). </w:t>
      </w:r>
      <w:r w:rsidR="00080CE6">
        <w:rPr>
          <w:rFonts w:ascii="Times New Roman" w:hAnsi="Times New Roman"/>
        </w:rPr>
        <w:t>П</w:t>
      </w:r>
      <w:r w:rsidRPr="000D167D">
        <w:rPr>
          <w:rFonts w:ascii="Times New Roman" w:hAnsi="Times New Roman"/>
        </w:rPr>
        <w:t xml:space="preserve">ослуги зі здійснення операцій ПАТ «Розрахунковий центр» </w:t>
      </w:r>
      <w:r w:rsidR="00080CE6">
        <w:rPr>
          <w:rFonts w:ascii="Times New Roman" w:hAnsi="Times New Roman"/>
        </w:rPr>
        <w:t>о</w:t>
      </w:r>
      <w:r w:rsidR="00080CE6" w:rsidRPr="000D167D">
        <w:rPr>
          <w:rFonts w:ascii="Times New Roman" w:hAnsi="Times New Roman"/>
        </w:rPr>
        <w:t xml:space="preserve">кремо </w:t>
      </w:r>
      <w:r w:rsidRPr="000D167D">
        <w:rPr>
          <w:rFonts w:ascii="Times New Roman" w:hAnsi="Times New Roman"/>
        </w:rPr>
        <w:t xml:space="preserve">не тарифікувало, що було обумовлено низькою активністю на фондовому ринку та відсутністю технічних можливостей для автоматизації процесів нарахування вартості послуг, а відтак високою вартістю адміністрування великої кількості тарифів (конфіденційна інформація суб’єкта). </w:t>
      </w:r>
    </w:p>
    <w:p w:rsidR="00A76167" w:rsidRPr="000D167D" w:rsidRDefault="00A76167" w:rsidP="00A76167">
      <w:pPr>
        <w:spacing w:line="240" w:lineRule="atLeast"/>
        <w:ind w:left="748" w:hanging="748"/>
        <w:jc w:val="both"/>
        <w:rPr>
          <w:rFonts w:ascii="Times New Roman" w:hAnsi="Times New Roman"/>
        </w:rPr>
      </w:pPr>
      <w:r w:rsidRPr="000D167D">
        <w:rPr>
          <w:rFonts w:ascii="Times New Roman" w:hAnsi="Times New Roman"/>
        </w:rPr>
        <w:t>(</w:t>
      </w:r>
      <w:r w:rsidR="003D4E66">
        <w:rPr>
          <w:rFonts w:ascii="Times New Roman" w:hAnsi="Times New Roman"/>
        </w:rPr>
        <w:t>39</w:t>
      </w:r>
      <w:r w:rsidRPr="000D167D">
        <w:rPr>
          <w:rFonts w:ascii="Times New Roman" w:hAnsi="Times New Roman"/>
        </w:rPr>
        <w:t>)</w:t>
      </w:r>
      <w:r w:rsidRPr="000D167D">
        <w:rPr>
          <w:rFonts w:ascii="Times New Roman" w:hAnsi="Times New Roman"/>
        </w:rPr>
        <w:tab/>
        <w:t xml:space="preserve">На підставі статистичних даних за 2016 – 2017 роки </w:t>
      </w:r>
      <w:r w:rsidR="00EE1A39">
        <w:rPr>
          <w:rFonts w:ascii="Times New Roman" w:hAnsi="Times New Roman"/>
        </w:rPr>
        <w:t>в</w:t>
      </w:r>
      <w:r w:rsidRPr="000D167D">
        <w:rPr>
          <w:rFonts w:ascii="Times New Roman" w:hAnsi="Times New Roman"/>
        </w:rPr>
        <w:t>ідповідачем були зроблені висновки про необхідність урівноваж</w:t>
      </w:r>
      <w:r w:rsidR="00EE1A39">
        <w:rPr>
          <w:rFonts w:ascii="Times New Roman" w:hAnsi="Times New Roman"/>
        </w:rPr>
        <w:t>ити</w:t>
      </w:r>
      <w:r w:rsidRPr="000D167D">
        <w:rPr>
          <w:rFonts w:ascii="Times New Roman" w:hAnsi="Times New Roman"/>
        </w:rPr>
        <w:t xml:space="preserve"> фінансов</w:t>
      </w:r>
      <w:r w:rsidR="00EE1A39">
        <w:rPr>
          <w:rFonts w:ascii="Times New Roman" w:hAnsi="Times New Roman"/>
        </w:rPr>
        <w:t>е</w:t>
      </w:r>
      <w:r w:rsidRPr="000D167D">
        <w:rPr>
          <w:rFonts w:ascii="Times New Roman" w:hAnsi="Times New Roman"/>
        </w:rPr>
        <w:t xml:space="preserve"> навантаження на клієнтів </w:t>
      </w:r>
      <w:r w:rsidR="00EE1A39" w:rsidRPr="000D167D">
        <w:rPr>
          <w:rFonts w:ascii="Times New Roman" w:hAnsi="Times New Roman"/>
        </w:rPr>
        <w:t>ПАТ</w:t>
      </w:r>
      <w:r w:rsidR="00EE1A39">
        <w:rPr>
          <w:rFonts w:ascii="Times New Roman" w:hAnsi="Times New Roman"/>
        </w:rPr>
        <w:t> </w:t>
      </w:r>
      <w:r w:rsidRPr="000D167D">
        <w:rPr>
          <w:rFonts w:ascii="Times New Roman" w:hAnsi="Times New Roman"/>
        </w:rPr>
        <w:t>«Розрахунковий центр» залежно від кількості виконуваних операцій та передбачити оплату клірингових послуг у вигляді вартості клірингового обслуговування (підтримка системи) та додатков</w:t>
      </w:r>
      <w:r w:rsidR="00EE1A39">
        <w:rPr>
          <w:rFonts w:ascii="Times New Roman" w:hAnsi="Times New Roman"/>
        </w:rPr>
        <w:t>у</w:t>
      </w:r>
      <w:r w:rsidRPr="000D167D">
        <w:rPr>
          <w:rFonts w:ascii="Times New Roman" w:hAnsi="Times New Roman"/>
        </w:rPr>
        <w:t xml:space="preserve"> оплат</w:t>
      </w:r>
      <w:r w:rsidR="00EE1A39">
        <w:rPr>
          <w:rFonts w:ascii="Times New Roman" w:hAnsi="Times New Roman"/>
        </w:rPr>
        <w:t>у</w:t>
      </w:r>
      <w:r w:rsidRPr="000D167D">
        <w:rPr>
          <w:rFonts w:ascii="Times New Roman" w:hAnsi="Times New Roman"/>
        </w:rPr>
        <w:t xml:space="preserve"> вартості кожної нетто</w:t>
      </w:r>
      <w:r w:rsidR="00EE1A39">
        <w:rPr>
          <w:rFonts w:ascii="Times New Roman" w:hAnsi="Times New Roman"/>
        </w:rPr>
        <w:t>-</w:t>
      </w:r>
      <w:r w:rsidRPr="000D167D">
        <w:rPr>
          <w:rFonts w:ascii="Times New Roman" w:hAnsi="Times New Roman"/>
        </w:rPr>
        <w:t>тран</w:t>
      </w:r>
      <w:r w:rsidR="00EE1A39">
        <w:rPr>
          <w:rFonts w:ascii="Times New Roman" w:hAnsi="Times New Roman"/>
        </w:rPr>
        <w:t>с</w:t>
      </w:r>
      <w:r w:rsidRPr="000D167D">
        <w:rPr>
          <w:rFonts w:ascii="Times New Roman" w:hAnsi="Times New Roman"/>
        </w:rPr>
        <w:t>акції за результатами клірингу, а також зни</w:t>
      </w:r>
      <w:r w:rsidR="00EE1A39">
        <w:rPr>
          <w:rFonts w:ascii="Times New Roman" w:hAnsi="Times New Roman"/>
        </w:rPr>
        <w:t>зити</w:t>
      </w:r>
      <w:r w:rsidRPr="000D167D">
        <w:rPr>
          <w:rFonts w:ascii="Times New Roman" w:hAnsi="Times New Roman"/>
        </w:rPr>
        <w:t xml:space="preserve"> мінімальн</w:t>
      </w:r>
      <w:r w:rsidR="00EE1A39">
        <w:rPr>
          <w:rFonts w:ascii="Times New Roman" w:hAnsi="Times New Roman"/>
        </w:rPr>
        <w:t>у</w:t>
      </w:r>
      <w:r w:rsidRPr="000D167D">
        <w:rPr>
          <w:rFonts w:ascii="Times New Roman" w:hAnsi="Times New Roman"/>
        </w:rPr>
        <w:t xml:space="preserve"> варт</w:t>
      </w:r>
      <w:r w:rsidR="00EE1A39">
        <w:rPr>
          <w:rFonts w:ascii="Times New Roman" w:hAnsi="Times New Roman"/>
        </w:rPr>
        <w:t>ість</w:t>
      </w:r>
      <w:r w:rsidRPr="000D167D">
        <w:rPr>
          <w:rFonts w:ascii="Times New Roman" w:hAnsi="Times New Roman"/>
        </w:rPr>
        <w:t xml:space="preserve"> клірингового обслуговування для учасників клірингу, які не виконують операції. Було вирішено </w:t>
      </w:r>
      <w:r w:rsidR="00EE1A39" w:rsidRPr="000D167D">
        <w:rPr>
          <w:rFonts w:ascii="Times New Roman" w:hAnsi="Times New Roman"/>
        </w:rPr>
        <w:t xml:space="preserve">розрахувати </w:t>
      </w:r>
      <w:r w:rsidRPr="000D167D">
        <w:rPr>
          <w:rFonts w:ascii="Times New Roman" w:hAnsi="Times New Roman"/>
        </w:rPr>
        <w:t xml:space="preserve">розміри тарифів таким чином, щоб забезпечити «економію від масштабу», тобто вартість однієї </w:t>
      </w:r>
      <w:proofErr w:type="spellStart"/>
      <w:r w:rsidRPr="000D167D">
        <w:rPr>
          <w:rFonts w:ascii="Times New Roman" w:hAnsi="Times New Roman"/>
        </w:rPr>
        <w:t>транcакції</w:t>
      </w:r>
      <w:proofErr w:type="spellEnd"/>
      <w:r w:rsidRPr="000D167D">
        <w:rPr>
          <w:rFonts w:ascii="Times New Roman" w:hAnsi="Times New Roman"/>
        </w:rPr>
        <w:t xml:space="preserve"> для клієнта знижується зі збільшенням кількості трансакцій, виконаних протягом місяця. Впроваджена модель лояльності, яка передбачає зниження вартості послуг залежно від розміру залишків коштів учасника клірингу в кліринговій системі (на рахунках для здійснення розрахунків), а також модель повернення коштів шляхом виплати процентів за залишками на банківських рахунках» (конфіденційна інформація суб’єкта).</w:t>
      </w:r>
    </w:p>
    <w:p w:rsidR="00A76167" w:rsidRPr="000D167D" w:rsidRDefault="00A76167" w:rsidP="00A76167">
      <w:pPr>
        <w:spacing w:line="240" w:lineRule="atLeast"/>
        <w:ind w:left="748" w:hanging="748"/>
        <w:jc w:val="both"/>
        <w:rPr>
          <w:rFonts w:ascii="Times New Roman" w:hAnsi="Times New Roman"/>
        </w:rPr>
      </w:pPr>
      <w:r w:rsidRPr="000D167D">
        <w:rPr>
          <w:rFonts w:ascii="Times New Roman" w:hAnsi="Times New Roman"/>
        </w:rPr>
        <w:t>(4</w:t>
      </w:r>
      <w:r w:rsidR="003D4E66">
        <w:rPr>
          <w:rFonts w:ascii="Times New Roman" w:hAnsi="Times New Roman"/>
        </w:rPr>
        <w:t>0</w:t>
      </w:r>
      <w:r w:rsidRPr="000D167D">
        <w:rPr>
          <w:rFonts w:ascii="Times New Roman" w:hAnsi="Times New Roman"/>
        </w:rPr>
        <w:t>)</w:t>
      </w:r>
      <w:r w:rsidRPr="000D167D">
        <w:rPr>
          <w:rFonts w:ascii="Times New Roman" w:hAnsi="Times New Roman"/>
        </w:rPr>
        <w:tab/>
        <w:t xml:space="preserve">З 01.01.2018 ПАТ «Розрахунковий центр» встановлено </w:t>
      </w:r>
      <w:r w:rsidR="00780246">
        <w:rPr>
          <w:rFonts w:ascii="Times New Roman" w:hAnsi="Times New Roman"/>
        </w:rPr>
        <w:t>такий</w:t>
      </w:r>
      <w:r w:rsidR="00780246" w:rsidRPr="000D167D">
        <w:rPr>
          <w:rFonts w:ascii="Times New Roman" w:hAnsi="Times New Roman"/>
        </w:rPr>
        <w:t xml:space="preserve"> </w:t>
      </w:r>
      <w:r w:rsidRPr="000D167D">
        <w:rPr>
          <w:rFonts w:ascii="Times New Roman" w:hAnsi="Times New Roman"/>
        </w:rPr>
        <w:t xml:space="preserve">тариф: «здійснення операцій списання/зарахування зобов’язань/прав із поставки/отримання коштів/цінних паперів за кліринговими рахунками/субрахунками для забезпечення розрахунків за правочинами (за результатами опрацювання правочинів, укладених на фондовій біржі та поза фондовою біржею, як із застосуванням процедур </w:t>
      </w:r>
      <w:proofErr w:type="spellStart"/>
      <w:r w:rsidRPr="000D167D">
        <w:rPr>
          <w:rFonts w:ascii="Times New Roman" w:hAnsi="Times New Roman"/>
        </w:rPr>
        <w:t>неттінгу</w:t>
      </w:r>
      <w:proofErr w:type="spellEnd"/>
      <w:r w:rsidRPr="000D167D">
        <w:rPr>
          <w:rFonts w:ascii="Times New Roman" w:hAnsi="Times New Roman"/>
        </w:rPr>
        <w:t xml:space="preserve">  (тарифікується нетто-операція), так і за одиночними розрахунками)». Вартість вказаної нової послуги становить:</w:t>
      </w:r>
    </w:p>
    <w:p w:rsidR="00A76167" w:rsidRPr="000D167D" w:rsidRDefault="00A76167" w:rsidP="00A76167">
      <w:pPr>
        <w:spacing w:line="240" w:lineRule="atLeast"/>
        <w:ind w:left="748" w:hanging="40"/>
        <w:jc w:val="both"/>
        <w:rPr>
          <w:rFonts w:ascii="Times New Roman" w:hAnsi="Times New Roman"/>
        </w:rPr>
      </w:pPr>
      <w:r w:rsidRPr="000D167D">
        <w:rPr>
          <w:rFonts w:ascii="Times New Roman" w:hAnsi="Times New Roman"/>
        </w:rPr>
        <w:t>– 300 грн за одну операцію. За тарифом оплачується не більше ніж 50 операцій протягом календарного місяця. У випадку виконання на кліринговому рахунку та субрахунках такого рахунку  більше ніж 50 операцій (протягом календарного місяця), вартість наступних операцій вважається такою, що включена до вартості обслуговування клірингового рахунку;</w:t>
      </w:r>
    </w:p>
    <w:p w:rsidR="00A76167" w:rsidRDefault="00A76167" w:rsidP="00A76167">
      <w:pPr>
        <w:spacing w:line="240" w:lineRule="atLeast"/>
        <w:ind w:left="748" w:hanging="40"/>
        <w:jc w:val="both"/>
        <w:rPr>
          <w:rFonts w:ascii="Times New Roman" w:hAnsi="Times New Roman"/>
        </w:rPr>
      </w:pPr>
      <w:r w:rsidRPr="000D167D">
        <w:rPr>
          <w:rFonts w:ascii="Times New Roman" w:hAnsi="Times New Roman"/>
        </w:rPr>
        <w:t>– 1,00 грн за одну операцію у випадку, якщо протягом календарного місяця, в якому надавались послуги, середньоденний залишок коштів на рахунках для здійснення розрахунків учасника клірингу (сумарно за кліринговим рахунком та субрахунками такого рахунку) дорівнював або перевищував 3 млн грн на 17:00 операційного дня;</w:t>
      </w:r>
    </w:p>
    <w:p w:rsidR="00840E1B" w:rsidRPr="000D167D" w:rsidRDefault="00840E1B" w:rsidP="00840E1B">
      <w:pPr>
        <w:spacing w:line="240" w:lineRule="atLeast"/>
        <w:ind w:left="748" w:hanging="748"/>
        <w:jc w:val="both"/>
        <w:rPr>
          <w:rFonts w:ascii="Times New Roman" w:hAnsi="Times New Roman"/>
        </w:rPr>
      </w:pPr>
      <w:r>
        <w:rPr>
          <w:rFonts w:ascii="Times New Roman" w:hAnsi="Times New Roman"/>
          <w:lang w:eastAsia="uk-UA"/>
        </w:rPr>
        <w:t>(4</w:t>
      </w:r>
      <w:r w:rsidR="003D4E66">
        <w:rPr>
          <w:rFonts w:ascii="Times New Roman" w:hAnsi="Times New Roman"/>
          <w:lang w:eastAsia="uk-UA"/>
        </w:rPr>
        <w:t>1</w:t>
      </w:r>
      <w:r>
        <w:rPr>
          <w:rFonts w:ascii="Times New Roman" w:hAnsi="Times New Roman"/>
          <w:lang w:eastAsia="uk-UA"/>
        </w:rPr>
        <w:t>)</w:t>
      </w:r>
      <w:r>
        <w:rPr>
          <w:rFonts w:ascii="Times New Roman" w:hAnsi="Times New Roman"/>
          <w:lang w:eastAsia="uk-UA"/>
        </w:rPr>
        <w:tab/>
      </w:r>
      <w:proofErr w:type="spellStart"/>
      <w:r w:rsidR="007E131A">
        <w:rPr>
          <w:rFonts w:ascii="Times New Roman" w:hAnsi="Times New Roman"/>
          <w:lang w:eastAsia="uk-UA"/>
        </w:rPr>
        <w:t>Отжде</w:t>
      </w:r>
      <w:proofErr w:type="spellEnd"/>
      <w:r>
        <w:rPr>
          <w:rFonts w:ascii="Times New Roman" w:hAnsi="Times New Roman"/>
          <w:lang w:eastAsia="uk-UA"/>
        </w:rPr>
        <w:t>, з</w:t>
      </w:r>
      <w:r w:rsidRPr="000D167D">
        <w:rPr>
          <w:rFonts w:ascii="Times New Roman" w:hAnsi="Times New Roman"/>
          <w:lang w:eastAsia="uk-UA"/>
        </w:rPr>
        <w:t>а результатами розгляду справи виявлено, що дії</w:t>
      </w:r>
      <w:r w:rsidR="00B02B9D">
        <w:rPr>
          <w:rFonts w:ascii="Times New Roman" w:hAnsi="Times New Roman"/>
          <w:lang w:eastAsia="uk-UA"/>
        </w:rPr>
        <w:t xml:space="preserve"> </w:t>
      </w:r>
      <w:r w:rsidRPr="000D167D">
        <w:rPr>
          <w:rFonts w:ascii="Times New Roman" w:hAnsi="Times New Roman"/>
          <w:lang w:eastAsia="uk-UA"/>
        </w:rPr>
        <w:t>ПАТ «Розрахунковий центр», які полягають у:</w:t>
      </w:r>
    </w:p>
    <w:p w:rsidR="00840E1B" w:rsidRPr="000D167D" w:rsidRDefault="00840E1B" w:rsidP="00840E1B">
      <w:pPr>
        <w:numPr>
          <w:ilvl w:val="0"/>
          <w:numId w:val="2"/>
        </w:numPr>
        <w:tabs>
          <w:tab w:val="left" w:pos="993"/>
          <w:tab w:val="left" w:pos="1066"/>
        </w:tabs>
        <w:suppressAutoHyphens/>
        <w:spacing w:line="240" w:lineRule="atLeast"/>
        <w:ind w:left="709" w:firstLine="11"/>
        <w:jc w:val="both"/>
        <w:rPr>
          <w:rFonts w:ascii="Times New Roman" w:hAnsi="Times New Roman"/>
        </w:rPr>
      </w:pPr>
      <w:r w:rsidRPr="000D167D">
        <w:rPr>
          <w:rFonts w:ascii="Times New Roman" w:hAnsi="Times New Roman"/>
          <w:lang w:eastAsia="uk-UA"/>
        </w:rPr>
        <w:t>відмові від тарифікації окремих операцій та підвищенні вартості послуги з обслуговування клірингового рахунку з 04.01.2016;</w:t>
      </w:r>
    </w:p>
    <w:p w:rsidR="00840E1B" w:rsidRPr="000D167D" w:rsidRDefault="00840E1B" w:rsidP="00840E1B">
      <w:pPr>
        <w:numPr>
          <w:ilvl w:val="0"/>
          <w:numId w:val="2"/>
        </w:numPr>
        <w:tabs>
          <w:tab w:val="left" w:pos="993"/>
          <w:tab w:val="left" w:pos="1066"/>
        </w:tabs>
        <w:suppressAutoHyphens/>
        <w:spacing w:line="240" w:lineRule="atLeast"/>
        <w:ind w:left="709" w:firstLine="11"/>
        <w:jc w:val="both"/>
        <w:rPr>
          <w:rFonts w:ascii="Times New Roman" w:hAnsi="Times New Roman"/>
        </w:rPr>
      </w:pPr>
      <w:r w:rsidRPr="000D167D">
        <w:rPr>
          <w:rFonts w:ascii="Times New Roman" w:hAnsi="Times New Roman"/>
          <w:lang w:eastAsia="uk-UA"/>
        </w:rPr>
        <w:t>зміні у 2018 році підходів до визначення вартості послуги з обслуговування клірингового рахунку:</w:t>
      </w:r>
    </w:p>
    <w:p w:rsidR="00840E1B" w:rsidRPr="000D167D" w:rsidRDefault="00840E1B" w:rsidP="00840E1B">
      <w:pPr>
        <w:tabs>
          <w:tab w:val="left" w:pos="993"/>
        </w:tabs>
        <w:spacing w:line="240" w:lineRule="atLeast"/>
        <w:ind w:left="709" w:firstLine="11"/>
        <w:jc w:val="both"/>
        <w:rPr>
          <w:rFonts w:ascii="Times New Roman" w:hAnsi="Times New Roman"/>
        </w:rPr>
      </w:pPr>
      <w:r w:rsidRPr="000D167D">
        <w:rPr>
          <w:rFonts w:ascii="Times New Roman" w:hAnsi="Times New Roman"/>
          <w:lang w:eastAsia="uk-UA"/>
        </w:rPr>
        <w:t xml:space="preserve">встановленні </w:t>
      </w:r>
      <w:r w:rsidRPr="000D167D">
        <w:rPr>
          <w:rFonts w:ascii="Times New Roman" w:hAnsi="Times New Roman"/>
        </w:rPr>
        <w:t xml:space="preserve">фіксованої плати за обслуговування клірингового рахунку з виключенням окремих операцій, виконання яких раніше входило до її складу, </w:t>
      </w:r>
    </w:p>
    <w:p w:rsidR="00840E1B" w:rsidRPr="000D167D" w:rsidRDefault="00840E1B" w:rsidP="00840E1B">
      <w:pPr>
        <w:tabs>
          <w:tab w:val="left" w:pos="993"/>
        </w:tabs>
        <w:spacing w:line="240" w:lineRule="atLeast"/>
        <w:ind w:left="709" w:firstLine="11"/>
        <w:jc w:val="both"/>
        <w:rPr>
          <w:rFonts w:ascii="Times New Roman" w:hAnsi="Times New Roman"/>
        </w:rPr>
      </w:pPr>
      <w:r w:rsidRPr="000D167D">
        <w:rPr>
          <w:rFonts w:ascii="Times New Roman" w:hAnsi="Times New Roman"/>
        </w:rPr>
        <w:t xml:space="preserve">введенні тарифікації певної фіксованої кількості операцій по рахунку із зазначенням, що вартість наступних вважається включеною до вартості обслуговування клірингового рахунку, </w:t>
      </w:r>
    </w:p>
    <w:p w:rsidR="00840E1B" w:rsidRPr="000D167D" w:rsidRDefault="00840E1B" w:rsidP="00840E1B">
      <w:pPr>
        <w:tabs>
          <w:tab w:val="left" w:pos="993"/>
        </w:tabs>
        <w:spacing w:line="240" w:lineRule="atLeast"/>
        <w:ind w:left="709" w:firstLine="11"/>
        <w:jc w:val="both"/>
        <w:rPr>
          <w:rFonts w:ascii="Times New Roman" w:hAnsi="Times New Roman"/>
        </w:rPr>
      </w:pPr>
      <w:r w:rsidRPr="000D167D">
        <w:rPr>
          <w:rFonts w:ascii="Times New Roman" w:hAnsi="Times New Roman"/>
        </w:rPr>
        <w:lastRenderedPageBreak/>
        <w:t xml:space="preserve">свідчать про відсутність єдності підходів (методик) до </w:t>
      </w:r>
      <w:proofErr w:type="spellStart"/>
      <w:r w:rsidRPr="000D167D">
        <w:rPr>
          <w:rFonts w:ascii="Times New Roman" w:hAnsi="Times New Roman"/>
        </w:rPr>
        <w:t>тарифоутворення</w:t>
      </w:r>
      <w:proofErr w:type="spellEnd"/>
      <w:r w:rsidRPr="000D167D">
        <w:rPr>
          <w:rFonts w:ascii="Times New Roman" w:hAnsi="Times New Roman"/>
        </w:rPr>
        <w:t xml:space="preserve"> на послуги, що надаються в умовах ринкового домінування. </w:t>
      </w:r>
    </w:p>
    <w:p w:rsidR="00840E1B" w:rsidRPr="000D167D" w:rsidRDefault="00840E1B" w:rsidP="00840E1B">
      <w:pPr>
        <w:spacing w:line="240" w:lineRule="atLeast"/>
        <w:ind w:left="748" w:hanging="28"/>
        <w:jc w:val="both"/>
        <w:rPr>
          <w:rFonts w:ascii="Times New Roman" w:hAnsi="Times New Roman"/>
        </w:rPr>
      </w:pPr>
      <w:r w:rsidRPr="000D167D">
        <w:rPr>
          <w:rFonts w:ascii="Times New Roman" w:hAnsi="Times New Roman"/>
        </w:rPr>
        <w:t>Це дає можливість Відповідачу застосовувати різні підходи до встановлення вартості послуги з обслуговування клірингового рахунку, здійснюючи тарифікацію окремих послуг, які можуть бути складовою основної послуги.</w:t>
      </w:r>
      <w:r w:rsidRPr="000D167D">
        <w:rPr>
          <w:rFonts w:ascii="Times New Roman" w:hAnsi="Times New Roman"/>
          <w:lang w:eastAsia="uk-UA"/>
        </w:rPr>
        <w:t xml:space="preserve"> </w:t>
      </w:r>
    </w:p>
    <w:p w:rsidR="00840E1B" w:rsidRPr="000D167D" w:rsidRDefault="00840E1B" w:rsidP="00840E1B">
      <w:pPr>
        <w:spacing w:line="240" w:lineRule="atLeast"/>
        <w:ind w:left="748" w:hanging="28"/>
        <w:jc w:val="both"/>
        <w:rPr>
          <w:rFonts w:ascii="Times New Roman" w:hAnsi="Times New Roman"/>
          <w:lang w:eastAsia="uk-UA"/>
        </w:rPr>
      </w:pPr>
      <w:r w:rsidRPr="000D167D">
        <w:rPr>
          <w:rFonts w:ascii="Times New Roman" w:hAnsi="Times New Roman"/>
          <w:lang w:eastAsia="uk-UA"/>
        </w:rPr>
        <w:t xml:space="preserve">Така ринкова поведінка стосовно </w:t>
      </w:r>
      <w:proofErr w:type="spellStart"/>
      <w:r w:rsidRPr="000D167D">
        <w:rPr>
          <w:rFonts w:ascii="Times New Roman" w:hAnsi="Times New Roman"/>
          <w:lang w:eastAsia="uk-UA"/>
        </w:rPr>
        <w:t>тарифоутворення</w:t>
      </w:r>
      <w:proofErr w:type="spellEnd"/>
      <w:r w:rsidRPr="000D167D">
        <w:rPr>
          <w:rFonts w:ascii="Times New Roman" w:hAnsi="Times New Roman"/>
          <w:lang w:eastAsia="uk-UA"/>
        </w:rPr>
        <w:t xml:space="preserve"> з боку ПАТ «Розрахунковий центр» можлива саме за наявності монопольного (домінуючого) становища на ринку послуг із клірингового обслуговування на фондовому ринку.</w:t>
      </w:r>
    </w:p>
    <w:p w:rsidR="00A76167" w:rsidRPr="000D167D" w:rsidRDefault="00A76167" w:rsidP="00A76167">
      <w:pPr>
        <w:spacing w:line="240" w:lineRule="atLeast"/>
        <w:ind w:left="748" w:hanging="748"/>
        <w:jc w:val="both"/>
        <w:rPr>
          <w:rFonts w:ascii="Times New Roman" w:hAnsi="Times New Roman"/>
        </w:rPr>
      </w:pPr>
      <w:r w:rsidRPr="000D167D">
        <w:rPr>
          <w:rFonts w:ascii="Times New Roman" w:hAnsi="Times New Roman"/>
        </w:rPr>
        <w:t>(42)</w:t>
      </w:r>
      <w:r w:rsidRPr="000D167D">
        <w:rPr>
          <w:rFonts w:ascii="Times New Roman" w:hAnsi="Times New Roman"/>
        </w:rPr>
        <w:tab/>
        <w:t xml:space="preserve">Отже, використовуючи монопольне (домінуюче) становище на ринку послуг із клірингового обслуговування на фондовому ринку, за умови відсутності єдності підходів (методики) до </w:t>
      </w:r>
      <w:proofErr w:type="spellStart"/>
      <w:r w:rsidRPr="000D167D">
        <w:rPr>
          <w:rFonts w:ascii="Times New Roman" w:hAnsi="Times New Roman"/>
        </w:rPr>
        <w:t>тарифоутворення</w:t>
      </w:r>
      <w:proofErr w:type="spellEnd"/>
      <w:r w:rsidRPr="000D167D">
        <w:rPr>
          <w:rFonts w:ascii="Times New Roman" w:hAnsi="Times New Roman"/>
        </w:rPr>
        <w:t xml:space="preserve"> на послуги, які надаються в умовах ринкового домінування, Відповідач застосовує різні підходи до встановлення вартості послуги з обслуговування клірингового рахунку, здійснюючи тарифікацію окремих послуг, які можуть бути складовою основної послуги. Як наслідок, клієнти ПАТ «Розрахунковий центр» – торгівці цінними паперами потенційно можуть мати труднощі у прогнозуванні своїх витрат. </w:t>
      </w:r>
    </w:p>
    <w:p w:rsidR="00A76167" w:rsidRPr="000D167D" w:rsidRDefault="00A76167" w:rsidP="00A76167">
      <w:pPr>
        <w:spacing w:line="240" w:lineRule="atLeast"/>
        <w:ind w:left="748" w:hanging="40"/>
        <w:jc w:val="both"/>
        <w:rPr>
          <w:rFonts w:ascii="Times New Roman" w:hAnsi="Times New Roman"/>
        </w:rPr>
      </w:pPr>
      <w:r w:rsidRPr="000D167D">
        <w:rPr>
          <w:rFonts w:ascii="Times New Roman" w:hAnsi="Times New Roman"/>
        </w:rPr>
        <w:t xml:space="preserve">Зазначена ситуація була б неможливою за умови існування значної конкуренції на ринку послуг із клірингового обслуговування на фондовому ринку та містить ознаки порушення, передбаченого частиною першою та пунктом 1 частини другої статті 13, пунктом 2 статті 50 Закону України «Про захист економічної конкуренції», у вигляді зловживання монопольним (домінуючим) становищем на ринку шляхом встановлення таких </w:t>
      </w:r>
      <w:r w:rsidR="00C80CBE">
        <w:rPr>
          <w:rFonts w:ascii="Times New Roman" w:hAnsi="Times New Roman"/>
        </w:rPr>
        <w:t>умов</w:t>
      </w:r>
      <w:r w:rsidRPr="000D167D">
        <w:rPr>
          <w:rFonts w:ascii="Times New Roman" w:hAnsi="Times New Roman"/>
        </w:rPr>
        <w:t xml:space="preserve"> реалізації послуг з обслуговування клірингового рахунку, які неможливо було б встановити за умов існування значної конкуренції на ринку.</w:t>
      </w:r>
    </w:p>
    <w:p w:rsidR="00D802DC" w:rsidRPr="000D167D" w:rsidRDefault="00D802DC" w:rsidP="00D802DC">
      <w:pPr>
        <w:spacing w:line="240" w:lineRule="atLeast"/>
        <w:ind w:left="142" w:hanging="40"/>
        <w:jc w:val="both"/>
        <w:rPr>
          <w:rFonts w:ascii="Times New Roman" w:hAnsi="Times New Roman"/>
        </w:rPr>
      </w:pPr>
    </w:p>
    <w:p w:rsidR="00D802DC" w:rsidRPr="000D167D" w:rsidRDefault="00D802DC" w:rsidP="00D802DC">
      <w:pPr>
        <w:spacing w:line="240" w:lineRule="atLeast"/>
        <w:ind w:left="142" w:hanging="40"/>
        <w:jc w:val="both"/>
        <w:rPr>
          <w:rFonts w:ascii="Times New Roman" w:hAnsi="Times New Roman"/>
          <w:b/>
        </w:rPr>
      </w:pPr>
      <w:r w:rsidRPr="000D167D">
        <w:rPr>
          <w:rFonts w:ascii="Times New Roman" w:hAnsi="Times New Roman"/>
          <w:b/>
        </w:rPr>
        <w:t>7.</w:t>
      </w:r>
      <w:r w:rsidRPr="000D167D">
        <w:rPr>
          <w:rFonts w:ascii="Times New Roman" w:hAnsi="Times New Roman"/>
          <w:b/>
        </w:rPr>
        <w:tab/>
        <w:t xml:space="preserve">СТАН ВИКОНАННЯ РЕКОМЕНДАЦІЙ КОМІТЕТУ  </w:t>
      </w:r>
    </w:p>
    <w:p w:rsidR="00D802DC" w:rsidRPr="000D167D" w:rsidRDefault="00D802DC" w:rsidP="00D802DC">
      <w:pPr>
        <w:spacing w:line="240" w:lineRule="atLeast"/>
        <w:ind w:left="142" w:hanging="40"/>
        <w:jc w:val="both"/>
        <w:rPr>
          <w:rFonts w:ascii="Times New Roman" w:hAnsi="Times New Roman"/>
        </w:rPr>
      </w:pPr>
    </w:p>
    <w:p w:rsidR="00D802DC" w:rsidRPr="000D167D" w:rsidRDefault="00D802DC" w:rsidP="00D802DC">
      <w:pPr>
        <w:spacing w:line="240" w:lineRule="atLeast"/>
        <w:ind w:left="709" w:hanging="607"/>
        <w:jc w:val="both"/>
        <w:rPr>
          <w:rFonts w:ascii="Times New Roman" w:hAnsi="Times New Roman"/>
        </w:rPr>
      </w:pPr>
      <w:r w:rsidRPr="000D167D">
        <w:rPr>
          <w:rFonts w:ascii="Times New Roman" w:hAnsi="Times New Roman"/>
        </w:rPr>
        <w:t>(43)</w:t>
      </w:r>
      <w:r w:rsidRPr="000D167D">
        <w:rPr>
          <w:rFonts w:ascii="Times New Roman" w:hAnsi="Times New Roman"/>
        </w:rPr>
        <w:tab/>
        <w:t>З метою припинення дій, які містять ознаки порушення законодавства про захист економічної конкуренції, усунення причин виникнення цих порушень і умов, що їм сприяють, Комітетом були надані рекомендації ПАТ «Розрахунковий центр»                  від 25.07.2019 № 52-рк (далі — Рекомендації) про вжиття заходів для:</w:t>
      </w:r>
    </w:p>
    <w:p w:rsidR="00D802DC" w:rsidRPr="000D167D" w:rsidRDefault="00D802DC" w:rsidP="00D802DC">
      <w:pPr>
        <w:spacing w:line="240" w:lineRule="atLeast"/>
        <w:ind w:left="709" w:hanging="1"/>
        <w:jc w:val="both"/>
        <w:rPr>
          <w:rFonts w:ascii="Times New Roman" w:hAnsi="Times New Roman"/>
        </w:rPr>
      </w:pPr>
      <w:r w:rsidRPr="000D167D">
        <w:rPr>
          <w:rFonts w:ascii="Times New Roman" w:hAnsi="Times New Roman"/>
        </w:rPr>
        <w:t xml:space="preserve">встановлення порядку формування тарифів на клірингові послуги, які не надаються іншими суб’єктами господарювання, в якому передбачити чіткий, вичерпний перелік складових вартості послуг, підстави, умови та порядок їх перерахунку; </w:t>
      </w:r>
    </w:p>
    <w:p w:rsidR="00D802DC" w:rsidRPr="000D167D" w:rsidRDefault="00D802DC" w:rsidP="00D802DC">
      <w:pPr>
        <w:spacing w:line="240" w:lineRule="atLeast"/>
        <w:ind w:left="709" w:hanging="1"/>
        <w:jc w:val="both"/>
        <w:rPr>
          <w:rFonts w:ascii="Times New Roman" w:hAnsi="Times New Roman"/>
        </w:rPr>
      </w:pPr>
      <w:r w:rsidRPr="000D167D">
        <w:rPr>
          <w:rFonts w:ascii="Times New Roman" w:hAnsi="Times New Roman"/>
        </w:rPr>
        <w:t>створення дорадчо-консультативного органу ПАТ «Розрахунковий центр з обслуговування договорів на фінансових ринках», третину членів якого б становили представники професійних учасників фондового ринку.</w:t>
      </w:r>
    </w:p>
    <w:p w:rsidR="00D802DC" w:rsidRPr="000D167D" w:rsidRDefault="00D802DC" w:rsidP="00D802DC">
      <w:pPr>
        <w:spacing w:line="240" w:lineRule="atLeast"/>
        <w:ind w:left="709" w:hanging="607"/>
        <w:jc w:val="both"/>
        <w:rPr>
          <w:rFonts w:ascii="Times New Roman" w:hAnsi="Times New Roman"/>
        </w:rPr>
      </w:pPr>
      <w:r w:rsidRPr="000D167D">
        <w:rPr>
          <w:rFonts w:ascii="Times New Roman" w:hAnsi="Times New Roman"/>
        </w:rPr>
        <w:t>(44)</w:t>
      </w:r>
      <w:r w:rsidRPr="000D167D">
        <w:rPr>
          <w:rFonts w:ascii="Times New Roman" w:hAnsi="Times New Roman"/>
        </w:rPr>
        <w:tab/>
        <w:t>Про результати розгляду вказаних рекомендацій ПАТ «Розрахунковий центр» необхідно було повідомити Комітет у 30-ден</w:t>
      </w:r>
      <w:r w:rsidR="00FC691D">
        <w:rPr>
          <w:rFonts w:ascii="Times New Roman" w:hAnsi="Times New Roman"/>
        </w:rPr>
        <w:t>н</w:t>
      </w:r>
      <w:r w:rsidRPr="000D167D">
        <w:rPr>
          <w:rFonts w:ascii="Times New Roman" w:hAnsi="Times New Roman"/>
        </w:rPr>
        <w:t>ий строк з дня їх отримання (лист Комітету від 02.08.2019 № 130-26.13/05-9872).</w:t>
      </w:r>
    </w:p>
    <w:p w:rsidR="00D802DC" w:rsidRPr="000D167D" w:rsidRDefault="00D802DC" w:rsidP="00D802DC">
      <w:pPr>
        <w:spacing w:line="240" w:lineRule="atLeast"/>
        <w:ind w:left="709" w:hanging="607"/>
        <w:jc w:val="both"/>
        <w:rPr>
          <w:rFonts w:ascii="Times New Roman" w:hAnsi="Times New Roman"/>
        </w:rPr>
      </w:pPr>
      <w:r w:rsidRPr="000D167D">
        <w:rPr>
          <w:rFonts w:ascii="Times New Roman" w:hAnsi="Times New Roman"/>
        </w:rPr>
        <w:t>(45)</w:t>
      </w:r>
      <w:r w:rsidRPr="000D167D">
        <w:rPr>
          <w:rFonts w:ascii="Times New Roman" w:hAnsi="Times New Roman"/>
        </w:rPr>
        <w:tab/>
        <w:t>Листом від 04.09.2019 № 1087 ПАТ «Розрахунковий центр» повідомило Комітет про результати розгляду рекомендацій від 25.07.2019 № 52-рк.</w:t>
      </w:r>
    </w:p>
    <w:p w:rsidR="00D802DC" w:rsidRPr="000D167D" w:rsidRDefault="00D802DC" w:rsidP="00D802DC">
      <w:pPr>
        <w:spacing w:line="240" w:lineRule="atLeast"/>
        <w:ind w:left="709" w:hanging="607"/>
        <w:jc w:val="both"/>
        <w:rPr>
          <w:rFonts w:ascii="Times New Roman" w:hAnsi="Times New Roman"/>
        </w:rPr>
      </w:pPr>
      <w:r w:rsidRPr="000D167D">
        <w:rPr>
          <w:rFonts w:ascii="Times New Roman" w:hAnsi="Times New Roman"/>
        </w:rPr>
        <w:t>(46)</w:t>
      </w:r>
      <w:r w:rsidRPr="000D167D">
        <w:rPr>
          <w:rFonts w:ascii="Times New Roman" w:hAnsi="Times New Roman"/>
        </w:rPr>
        <w:tab/>
        <w:t>За інформацією ПАТ «Розрахунковий центр», внесен</w:t>
      </w:r>
      <w:r w:rsidR="00FC691D">
        <w:rPr>
          <w:rFonts w:ascii="Times New Roman" w:hAnsi="Times New Roman"/>
        </w:rPr>
        <w:t>о</w:t>
      </w:r>
      <w:r w:rsidRPr="000D167D">
        <w:rPr>
          <w:rFonts w:ascii="Times New Roman" w:hAnsi="Times New Roman"/>
        </w:rPr>
        <w:t xml:space="preserve"> зміни до Положення про тарифну політику публічного акціонерного товариства «Розрахунковий центр з обслуговування договорів на фінансових ринках», які затверджені правлінням             ПАТ «Розрахунковий центр» (протокол засідання від 02.09.2019 № 47) (далі – Положення про тарифну політику).</w:t>
      </w:r>
    </w:p>
    <w:p w:rsidR="00D802DC" w:rsidRPr="000D167D" w:rsidRDefault="00D802DC" w:rsidP="00D802DC">
      <w:pPr>
        <w:spacing w:line="240" w:lineRule="atLeast"/>
        <w:ind w:left="709" w:hanging="607"/>
        <w:jc w:val="both"/>
        <w:rPr>
          <w:rFonts w:ascii="Times New Roman" w:hAnsi="Times New Roman"/>
        </w:rPr>
      </w:pPr>
      <w:r w:rsidRPr="000D167D">
        <w:rPr>
          <w:rFonts w:ascii="Times New Roman" w:hAnsi="Times New Roman"/>
        </w:rPr>
        <w:t>(47)</w:t>
      </w:r>
      <w:r w:rsidRPr="000D167D">
        <w:rPr>
          <w:rFonts w:ascii="Times New Roman" w:hAnsi="Times New Roman"/>
        </w:rPr>
        <w:tab/>
        <w:t xml:space="preserve">Зазначені зміни передбачають </w:t>
      </w:r>
      <w:r w:rsidR="00FC691D">
        <w:rPr>
          <w:rFonts w:ascii="Times New Roman" w:hAnsi="Times New Roman"/>
        </w:rPr>
        <w:t>так</w:t>
      </w:r>
      <w:r w:rsidR="00FC691D" w:rsidRPr="000D167D">
        <w:rPr>
          <w:rFonts w:ascii="Times New Roman" w:hAnsi="Times New Roman"/>
        </w:rPr>
        <w:t>е</w:t>
      </w:r>
      <w:r w:rsidRPr="000D167D">
        <w:rPr>
          <w:rFonts w:ascii="Times New Roman" w:hAnsi="Times New Roman"/>
        </w:rPr>
        <w:t>:</w:t>
      </w:r>
    </w:p>
    <w:p w:rsidR="00D802DC" w:rsidRPr="000D167D" w:rsidRDefault="00D802DC" w:rsidP="00D802DC">
      <w:pPr>
        <w:spacing w:line="240" w:lineRule="atLeast"/>
        <w:ind w:left="709" w:hanging="1"/>
        <w:jc w:val="both"/>
        <w:rPr>
          <w:rFonts w:ascii="Times New Roman" w:hAnsi="Times New Roman"/>
        </w:rPr>
      </w:pPr>
      <w:r w:rsidRPr="000D167D">
        <w:rPr>
          <w:rFonts w:ascii="Times New Roman" w:hAnsi="Times New Roman"/>
        </w:rPr>
        <w:t xml:space="preserve">- розгляд пропозицій клієнтів ПАТ «Розрахунковий центр», </w:t>
      </w:r>
      <w:proofErr w:type="spellStart"/>
      <w:r w:rsidRPr="000D167D">
        <w:rPr>
          <w:rFonts w:ascii="Times New Roman" w:hAnsi="Times New Roman"/>
        </w:rPr>
        <w:t>саморегулівних</w:t>
      </w:r>
      <w:proofErr w:type="spellEnd"/>
      <w:r w:rsidRPr="000D167D">
        <w:rPr>
          <w:rFonts w:ascii="Times New Roman" w:hAnsi="Times New Roman"/>
        </w:rPr>
        <w:t xml:space="preserve"> організацій на ринку цінних паперів, які об’єднують клієнтів ПАТ «Розрахунковий центр», та дорадчо-консультативного органу ПАТ «Розрахунковий центр»;</w:t>
      </w:r>
    </w:p>
    <w:p w:rsidR="00D802DC" w:rsidRPr="000D167D" w:rsidRDefault="00D802DC" w:rsidP="00D802DC">
      <w:pPr>
        <w:spacing w:line="240" w:lineRule="atLeast"/>
        <w:ind w:left="709" w:hanging="1"/>
        <w:jc w:val="both"/>
        <w:rPr>
          <w:rFonts w:ascii="Times New Roman" w:hAnsi="Times New Roman"/>
        </w:rPr>
      </w:pPr>
      <w:r w:rsidRPr="000D167D">
        <w:rPr>
          <w:rFonts w:ascii="Times New Roman" w:hAnsi="Times New Roman"/>
        </w:rPr>
        <w:t xml:space="preserve">- узгодження тарифів ПАТ «Розрахунковий центр» </w:t>
      </w:r>
      <w:r w:rsidR="00FC691D">
        <w:rPr>
          <w:rFonts w:ascii="Times New Roman" w:hAnsi="Times New Roman"/>
        </w:rPr>
        <w:t>і</w:t>
      </w:r>
      <w:r w:rsidRPr="000D167D">
        <w:rPr>
          <w:rFonts w:ascii="Times New Roman" w:hAnsi="Times New Roman"/>
        </w:rPr>
        <w:t xml:space="preserve">з дорадчо-консультативним органом ПАТ «Розрахунковий центр», якщо зміни тарифів передбачають зміну тарифу на послугу ПАТ «Розрахунковий центр» та/або впровадження нового тарифу </w:t>
      </w:r>
      <w:r w:rsidRPr="000D167D">
        <w:rPr>
          <w:rFonts w:ascii="Times New Roman" w:hAnsi="Times New Roman"/>
        </w:rPr>
        <w:lastRenderedPageBreak/>
        <w:t>за послугами, що не надаються іншими суб’єктами господарювання на ринку відповідних послуг;</w:t>
      </w:r>
    </w:p>
    <w:p w:rsidR="00D802DC" w:rsidRPr="000D167D" w:rsidRDefault="00D802DC" w:rsidP="00D802DC">
      <w:pPr>
        <w:spacing w:line="240" w:lineRule="atLeast"/>
        <w:ind w:left="709" w:hanging="1"/>
        <w:jc w:val="both"/>
        <w:rPr>
          <w:rFonts w:ascii="Times New Roman" w:hAnsi="Times New Roman"/>
        </w:rPr>
      </w:pPr>
      <w:r w:rsidRPr="000D167D">
        <w:rPr>
          <w:rFonts w:ascii="Times New Roman" w:hAnsi="Times New Roman"/>
        </w:rPr>
        <w:t>- обмеження для зміни тарифів у бік збільшення;</w:t>
      </w:r>
    </w:p>
    <w:p w:rsidR="00D802DC" w:rsidRPr="000D167D" w:rsidRDefault="00D802DC" w:rsidP="00D802DC">
      <w:pPr>
        <w:spacing w:line="240" w:lineRule="atLeast"/>
        <w:ind w:left="709" w:hanging="1"/>
        <w:jc w:val="both"/>
        <w:rPr>
          <w:rFonts w:ascii="Times New Roman" w:hAnsi="Times New Roman"/>
        </w:rPr>
      </w:pPr>
      <w:r w:rsidRPr="000D167D">
        <w:rPr>
          <w:rFonts w:ascii="Times New Roman" w:hAnsi="Times New Roman"/>
        </w:rPr>
        <w:t>- чіткий перелік складових вартості послуг (тарифів) за послугами, що не надаються іншими суб’єктами господарювання на ринку відповідних послуг;</w:t>
      </w:r>
    </w:p>
    <w:p w:rsidR="00A76167" w:rsidRPr="000D167D" w:rsidRDefault="00D802DC" w:rsidP="00D802DC">
      <w:pPr>
        <w:spacing w:line="240" w:lineRule="atLeast"/>
        <w:ind w:left="709" w:hanging="1"/>
        <w:jc w:val="both"/>
        <w:rPr>
          <w:rFonts w:ascii="Times New Roman" w:hAnsi="Times New Roman"/>
        </w:rPr>
      </w:pPr>
      <w:r w:rsidRPr="000D167D">
        <w:rPr>
          <w:rFonts w:ascii="Times New Roman" w:hAnsi="Times New Roman"/>
        </w:rPr>
        <w:t>- переліки (складові) прямих та непрямих витрат, що відносяться на собівартість послуг.</w:t>
      </w:r>
    </w:p>
    <w:p w:rsidR="00D802DC" w:rsidRPr="000D167D" w:rsidRDefault="004A3A8B" w:rsidP="00D802DC">
      <w:pPr>
        <w:spacing w:line="240" w:lineRule="atLeast"/>
        <w:ind w:left="709" w:hanging="709"/>
        <w:jc w:val="both"/>
        <w:rPr>
          <w:rFonts w:ascii="Times New Roman" w:hAnsi="Times New Roman"/>
        </w:rPr>
      </w:pPr>
      <w:r w:rsidRPr="000D167D">
        <w:rPr>
          <w:rFonts w:ascii="Times New Roman" w:hAnsi="Times New Roman"/>
        </w:rPr>
        <w:t>(48)</w:t>
      </w:r>
      <w:r w:rsidRPr="000D167D">
        <w:rPr>
          <w:rFonts w:ascii="Times New Roman" w:hAnsi="Times New Roman"/>
        </w:rPr>
        <w:tab/>
      </w:r>
      <w:r w:rsidR="00D802DC" w:rsidRPr="000D167D">
        <w:rPr>
          <w:rFonts w:ascii="Times New Roman" w:hAnsi="Times New Roman"/>
        </w:rPr>
        <w:t>Крім того, ПАТ «Розрахунковий центр» повідоми</w:t>
      </w:r>
      <w:r w:rsidR="00FC691D">
        <w:rPr>
          <w:rFonts w:ascii="Times New Roman" w:hAnsi="Times New Roman"/>
        </w:rPr>
        <w:t>ло</w:t>
      </w:r>
      <w:r w:rsidR="00D802DC" w:rsidRPr="000D167D">
        <w:rPr>
          <w:rFonts w:ascii="Times New Roman" w:hAnsi="Times New Roman"/>
        </w:rPr>
        <w:t xml:space="preserve"> про зустріч </w:t>
      </w:r>
      <w:r w:rsidR="00FC691D">
        <w:rPr>
          <w:rFonts w:ascii="Times New Roman" w:hAnsi="Times New Roman"/>
        </w:rPr>
        <w:t>і</w:t>
      </w:r>
      <w:r w:rsidR="00D802DC" w:rsidRPr="000D167D">
        <w:rPr>
          <w:rFonts w:ascii="Times New Roman" w:hAnsi="Times New Roman"/>
        </w:rPr>
        <w:t xml:space="preserve">з брокерами – клієнтами ПАТ «Розрахунковий центр», </w:t>
      </w:r>
      <w:proofErr w:type="spellStart"/>
      <w:r w:rsidR="00D802DC" w:rsidRPr="000D167D">
        <w:rPr>
          <w:rFonts w:ascii="Times New Roman" w:hAnsi="Times New Roman"/>
        </w:rPr>
        <w:t>саморегулівними</w:t>
      </w:r>
      <w:proofErr w:type="spellEnd"/>
      <w:r w:rsidR="00D802DC" w:rsidRPr="000D167D">
        <w:rPr>
          <w:rFonts w:ascii="Times New Roman" w:hAnsi="Times New Roman"/>
        </w:rPr>
        <w:t xml:space="preserve"> організаціями та фондовими біржами, яка відбулася 14.08.2019.</w:t>
      </w:r>
    </w:p>
    <w:p w:rsidR="00D802DC" w:rsidRPr="000D167D" w:rsidRDefault="004A3A8B" w:rsidP="00D802DC">
      <w:pPr>
        <w:spacing w:line="240" w:lineRule="atLeast"/>
        <w:ind w:left="709" w:hanging="709"/>
        <w:jc w:val="both"/>
        <w:rPr>
          <w:rFonts w:ascii="Times New Roman" w:hAnsi="Times New Roman"/>
        </w:rPr>
      </w:pPr>
      <w:r w:rsidRPr="000D167D">
        <w:rPr>
          <w:rFonts w:ascii="Times New Roman" w:hAnsi="Times New Roman"/>
        </w:rPr>
        <w:t>(</w:t>
      </w:r>
      <w:r w:rsidR="00CB3BDD">
        <w:rPr>
          <w:rFonts w:ascii="Times New Roman" w:hAnsi="Times New Roman"/>
        </w:rPr>
        <w:t>49</w:t>
      </w:r>
      <w:r w:rsidR="00D802DC" w:rsidRPr="000D167D">
        <w:rPr>
          <w:rFonts w:ascii="Times New Roman" w:hAnsi="Times New Roman"/>
        </w:rPr>
        <w:t>)</w:t>
      </w:r>
      <w:r w:rsidR="00D802DC" w:rsidRPr="000D167D">
        <w:rPr>
          <w:rFonts w:ascii="Times New Roman" w:hAnsi="Times New Roman"/>
        </w:rPr>
        <w:tab/>
        <w:t>На зазначеній зустрічі обговоре</w:t>
      </w:r>
      <w:r w:rsidR="00FC691D">
        <w:rPr>
          <w:rFonts w:ascii="Times New Roman" w:hAnsi="Times New Roman"/>
        </w:rPr>
        <w:t>но</w:t>
      </w:r>
      <w:r w:rsidR="00D802DC" w:rsidRPr="000D167D">
        <w:rPr>
          <w:rFonts w:ascii="Times New Roman" w:hAnsi="Times New Roman"/>
        </w:rPr>
        <w:t xml:space="preserve"> Рекомендаці</w:t>
      </w:r>
      <w:r w:rsidR="00FC691D">
        <w:rPr>
          <w:rFonts w:ascii="Times New Roman" w:hAnsi="Times New Roman"/>
        </w:rPr>
        <w:t>ї</w:t>
      </w:r>
      <w:r w:rsidR="00D802DC" w:rsidRPr="000D167D">
        <w:rPr>
          <w:rFonts w:ascii="Times New Roman" w:hAnsi="Times New Roman"/>
        </w:rPr>
        <w:t xml:space="preserve"> та одноголосно прийнято рішення про створення дорадчо-консультативного органу на базі </w:t>
      </w:r>
      <w:proofErr w:type="spellStart"/>
      <w:r w:rsidR="00D802DC" w:rsidRPr="000D167D">
        <w:rPr>
          <w:rFonts w:ascii="Times New Roman" w:hAnsi="Times New Roman"/>
        </w:rPr>
        <w:t>саморегулівних</w:t>
      </w:r>
      <w:proofErr w:type="spellEnd"/>
      <w:r w:rsidR="00D802DC" w:rsidRPr="000D167D">
        <w:rPr>
          <w:rFonts w:ascii="Times New Roman" w:hAnsi="Times New Roman"/>
        </w:rPr>
        <w:t xml:space="preserve"> організацій, який буде діяти на підставі меморандуму з ПАТ «Розрахунковий центр».</w:t>
      </w:r>
    </w:p>
    <w:p w:rsidR="00D802DC" w:rsidRPr="000D167D" w:rsidRDefault="00D802DC" w:rsidP="00D802DC">
      <w:pPr>
        <w:spacing w:line="240" w:lineRule="atLeast"/>
        <w:ind w:left="709" w:hanging="709"/>
        <w:jc w:val="both"/>
        <w:rPr>
          <w:rFonts w:ascii="Times New Roman" w:hAnsi="Times New Roman"/>
        </w:rPr>
      </w:pPr>
      <w:r w:rsidRPr="000D167D">
        <w:rPr>
          <w:rFonts w:ascii="Times New Roman" w:hAnsi="Times New Roman"/>
        </w:rPr>
        <w:t>(</w:t>
      </w:r>
      <w:r w:rsidR="00CB3BDD">
        <w:rPr>
          <w:rFonts w:ascii="Times New Roman" w:hAnsi="Times New Roman"/>
        </w:rPr>
        <w:t>50</w:t>
      </w:r>
      <w:r w:rsidRPr="000D167D">
        <w:rPr>
          <w:rFonts w:ascii="Times New Roman" w:hAnsi="Times New Roman"/>
        </w:rPr>
        <w:t>)</w:t>
      </w:r>
      <w:r w:rsidRPr="000D167D">
        <w:rPr>
          <w:rFonts w:ascii="Times New Roman" w:hAnsi="Times New Roman"/>
        </w:rPr>
        <w:tab/>
        <w:t xml:space="preserve">Створення дорадчо-консультативного органу саме на базі </w:t>
      </w:r>
      <w:proofErr w:type="spellStart"/>
      <w:r w:rsidRPr="000D167D">
        <w:rPr>
          <w:rFonts w:ascii="Times New Roman" w:hAnsi="Times New Roman"/>
        </w:rPr>
        <w:t>саморегулівних</w:t>
      </w:r>
      <w:proofErr w:type="spellEnd"/>
      <w:r w:rsidRPr="000D167D">
        <w:rPr>
          <w:rFonts w:ascii="Times New Roman" w:hAnsi="Times New Roman"/>
        </w:rPr>
        <w:t xml:space="preserve"> організацій </w:t>
      </w:r>
      <w:r w:rsidR="00FC691D">
        <w:rPr>
          <w:rFonts w:ascii="Times New Roman" w:hAnsi="Times New Roman"/>
        </w:rPr>
        <w:t>спричинено</w:t>
      </w:r>
      <w:r w:rsidR="00FC691D" w:rsidRPr="000D167D">
        <w:rPr>
          <w:rFonts w:ascii="Times New Roman" w:hAnsi="Times New Roman"/>
        </w:rPr>
        <w:t xml:space="preserve"> </w:t>
      </w:r>
      <w:r w:rsidRPr="000D167D">
        <w:rPr>
          <w:rFonts w:ascii="Times New Roman" w:hAnsi="Times New Roman"/>
        </w:rPr>
        <w:t>необхідністю уникнення конфлікту інтересів та дотримання вимог законодавства щодо керівників банку, оскільки у випадку створення такого органу</w:t>
      </w:r>
      <w:r w:rsidR="00FC691D">
        <w:rPr>
          <w:rFonts w:ascii="Times New Roman" w:hAnsi="Times New Roman"/>
        </w:rPr>
        <w:t>,</w:t>
      </w:r>
      <w:r w:rsidRPr="000D167D">
        <w:rPr>
          <w:rFonts w:ascii="Times New Roman" w:hAnsi="Times New Roman"/>
        </w:rPr>
        <w:t xml:space="preserve"> як ПАТ «Розрахунковий центр», його члени, відповідно до Закону України «Про акціонерні товариства», були б посадовими особами ПАТ «Розрахунковий центр».</w:t>
      </w:r>
    </w:p>
    <w:p w:rsidR="00D802DC" w:rsidRPr="000D167D" w:rsidRDefault="00D802DC" w:rsidP="00D802DC">
      <w:pPr>
        <w:spacing w:line="240" w:lineRule="atLeast"/>
        <w:ind w:left="709" w:hanging="709"/>
        <w:jc w:val="both"/>
        <w:rPr>
          <w:rFonts w:ascii="Times New Roman" w:hAnsi="Times New Roman"/>
        </w:rPr>
      </w:pPr>
      <w:r w:rsidRPr="000D167D">
        <w:rPr>
          <w:rFonts w:ascii="Times New Roman" w:hAnsi="Times New Roman"/>
        </w:rPr>
        <w:t>(</w:t>
      </w:r>
      <w:r w:rsidR="004A3A8B" w:rsidRPr="000D167D">
        <w:rPr>
          <w:rFonts w:ascii="Times New Roman" w:hAnsi="Times New Roman"/>
        </w:rPr>
        <w:t>5</w:t>
      </w:r>
      <w:r w:rsidR="00CB3BDD">
        <w:rPr>
          <w:rFonts w:ascii="Times New Roman" w:hAnsi="Times New Roman"/>
        </w:rPr>
        <w:t>1</w:t>
      </w:r>
      <w:r w:rsidRPr="000D167D">
        <w:rPr>
          <w:rFonts w:ascii="Times New Roman" w:hAnsi="Times New Roman"/>
        </w:rPr>
        <w:t xml:space="preserve">)    Виходячи із зазначеного, 20.01.2020 укладено Меморандум про співпрацю </w:t>
      </w:r>
      <w:r w:rsidR="00CB3BDD" w:rsidRPr="000D167D">
        <w:rPr>
          <w:rFonts w:ascii="Times New Roman" w:hAnsi="Times New Roman"/>
        </w:rPr>
        <w:t>(далі — Меморандум)</w:t>
      </w:r>
      <w:r w:rsidR="00CB3BDD">
        <w:rPr>
          <w:rFonts w:ascii="Times New Roman" w:hAnsi="Times New Roman"/>
        </w:rPr>
        <w:t xml:space="preserve"> </w:t>
      </w:r>
      <w:r w:rsidRPr="000D167D">
        <w:rPr>
          <w:rFonts w:ascii="Times New Roman" w:hAnsi="Times New Roman"/>
        </w:rPr>
        <w:t>між Професійною асоціацією учасників ринків капіталу та деривативів (далі — ПАРД) та ПАТ «Розрахунковий центр».</w:t>
      </w:r>
    </w:p>
    <w:p w:rsidR="00D802DC" w:rsidRPr="000D167D" w:rsidRDefault="00D802DC" w:rsidP="00D802DC">
      <w:pPr>
        <w:spacing w:line="240" w:lineRule="atLeast"/>
        <w:ind w:left="709" w:hanging="709"/>
        <w:jc w:val="both"/>
        <w:rPr>
          <w:rFonts w:ascii="Times New Roman" w:hAnsi="Times New Roman"/>
        </w:rPr>
      </w:pPr>
      <w:r w:rsidRPr="000D167D">
        <w:rPr>
          <w:rFonts w:ascii="Times New Roman" w:hAnsi="Times New Roman"/>
        </w:rPr>
        <w:t>(</w:t>
      </w:r>
      <w:r w:rsidR="00CB3BDD">
        <w:rPr>
          <w:rFonts w:ascii="Times New Roman" w:hAnsi="Times New Roman"/>
        </w:rPr>
        <w:t>52</w:t>
      </w:r>
      <w:r w:rsidRPr="000D167D">
        <w:rPr>
          <w:rFonts w:ascii="Times New Roman" w:hAnsi="Times New Roman"/>
        </w:rPr>
        <w:t>)</w:t>
      </w:r>
      <w:r w:rsidRPr="000D167D">
        <w:rPr>
          <w:rFonts w:ascii="Times New Roman" w:hAnsi="Times New Roman"/>
        </w:rPr>
        <w:tab/>
      </w:r>
      <w:r w:rsidR="00FC691D">
        <w:rPr>
          <w:rFonts w:ascii="Times New Roman" w:hAnsi="Times New Roman"/>
        </w:rPr>
        <w:t>У</w:t>
      </w:r>
      <w:r w:rsidRPr="000D167D">
        <w:rPr>
          <w:rFonts w:ascii="Times New Roman" w:hAnsi="Times New Roman"/>
        </w:rPr>
        <w:t xml:space="preserve"> рамках Меморандуму ПАТ «Розрахунковий центр» та ПАРД домовились, зокрема</w:t>
      </w:r>
      <w:r w:rsidR="00B16F67">
        <w:rPr>
          <w:rFonts w:ascii="Times New Roman" w:hAnsi="Times New Roman"/>
        </w:rPr>
        <w:t>,</w:t>
      </w:r>
      <w:r w:rsidRPr="000D167D">
        <w:rPr>
          <w:rFonts w:ascii="Times New Roman" w:hAnsi="Times New Roman"/>
        </w:rPr>
        <w:t xml:space="preserve"> про </w:t>
      </w:r>
      <w:r w:rsidR="00FC691D">
        <w:rPr>
          <w:rFonts w:ascii="Times New Roman" w:hAnsi="Times New Roman"/>
        </w:rPr>
        <w:t>таке</w:t>
      </w:r>
      <w:r w:rsidRPr="000D167D">
        <w:rPr>
          <w:rFonts w:ascii="Times New Roman" w:hAnsi="Times New Roman"/>
        </w:rPr>
        <w:t>:</w:t>
      </w:r>
    </w:p>
    <w:p w:rsidR="00D802DC" w:rsidRPr="000D167D" w:rsidRDefault="00D802DC" w:rsidP="00D802DC">
      <w:pPr>
        <w:spacing w:line="240" w:lineRule="atLeast"/>
        <w:ind w:left="709" w:hanging="1"/>
        <w:jc w:val="both"/>
        <w:rPr>
          <w:rFonts w:ascii="Times New Roman" w:hAnsi="Times New Roman"/>
        </w:rPr>
      </w:pPr>
      <w:r w:rsidRPr="000D167D">
        <w:rPr>
          <w:rFonts w:ascii="Times New Roman" w:hAnsi="Times New Roman"/>
        </w:rPr>
        <w:t xml:space="preserve">- у випадку впровадження ПАТ «Розрахунковий центр» нових послуг, нових тарифів та/або внесення змін до тарифів на </w:t>
      </w:r>
      <w:r w:rsidR="00FC691D">
        <w:rPr>
          <w:rFonts w:ascii="Times New Roman" w:hAnsi="Times New Roman"/>
        </w:rPr>
        <w:t>наявні</w:t>
      </w:r>
      <w:r w:rsidR="00FC691D" w:rsidRPr="000D167D">
        <w:rPr>
          <w:rFonts w:ascii="Times New Roman" w:hAnsi="Times New Roman"/>
        </w:rPr>
        <w:t xml:space="preserve"> </w:t>
      </w:r>
      <w:r w:rsidRPr="000D167D">
        <w:rPr>
          <w:rFonts w:ascii="Times New Roman" w:hAnsi="Times New Roman"/>
        </w:rPr>
        <w:t>послуги</w:t>
      </w:r>
      <w:r w:rsidR="00FC691D">
        <w:rPr>
          <w:rFonts w:ascii="Times New Roman" w:hAnsi="Times New Roman"/>
        </w:rPr>
        <w:t> </w:t>
      </w:r>
      <w:r w:rsidRPr="000D167D">
        <w:rPr>
          <w:rFonts w:ascii="Times New Roman" w:hAnsi="Times New Roman"/>
        </w:rPr>
        <w:t>/</w:t>
      </w:r>
      <w:r w:rsidR="00FC691D">
        <w:rPr>
          <w:rFonts w:ascii="Times New Roman" w:hAnsi="Times New Roman"/>
        </w:rPr>
        <w:t> </w:t>
      </w:r>
      <w:r w:rsidRPr="000D167D">
        <w:rPr>
          <w:rFonts w:ascii="Times New Roman" w:hAnsi="Times New Roman"/>
        </w:rPr>
        <w:t>зміни системи або підходів у порядку тарифікації (далі — Зміни) для клієнтів, які є членами ПАРД,                                      ПАТ «Розрахунковий центр» повідомляє про такі зміни не пізніше ніж за 2 (два) тижні до запланованої дати їх впровадження</w:t>
      </w:r>
      <w:r w:rsidR="00FC691D">
        <w:rPr>
          <w:rFonts w:ascii="Times New Roman" w:hAnsi="Times New Roman"/>
        </w:rPr>
        <w:t> </w:t>
      </w:r>
      <w:r w:rsidRPr="000D167D">
        <w:rPr>
          <w:rFonts w:ascii="Times New Roman" w:hAnsi="Times New Roman"/>
        </w:rPr>
        <w:t>/</w:t>
      </w:r>
      <w:r w:rsidR="00FC691D">
        <w:rPr>
          <w:rFonts w:ascii="Times New Roman" w:hAnsi="Times New Roman"/>
        </w:rPr>
        <w:t> </w:t>
      </w:r>
      <w:r w:rsidRPr="000D167D">
        <w:rPr>
          <w:rFonts w:ascii="Times New Roman" w:hAnsi="Times New Roman"/>
        </w:rPr>
        <w:t>введення в дію;</w:t>
      </w:r>
    </w:p>
    <w:p w:rsidR="00D802DC" w:rsidRPr="000D167D" w:rsidRDefault="00D802DC" w:rsidP="00D802DC">
      <w:pPr>
        <w:spacing w:line="240" w:lineRule="atLeast"/>
        <w:ind w:left="709" w:hanging="1"/>
        <w:jc w:val="both"/>
        <w:rPr>
          <w:rFonts w:ascii="Times New Roman" w:hAnsi="Times New Roman"/>
        </w:rPr>
      </w:pPr>
      <w:r w:rsidRPr="000D167D">
        <w:rPr>
          <w:rFonts w:ascii="Times New Roman" w:hAnsi="Times New Roman"/>
        </w:rPr>
        <w:t xml:space="preserve">- після отримання повідомлення про Зміни ПАРД забезпечує скликання та проведення засідання Експертної ради ПАРД, на яке запрошуються представники                             ПАТ «Розрахунковий центр» та на якому розглядається інформація про Зміни, та формується експертна думка щодо </w:t>
      </w:r>
      <w:r w:rsidR="002C4D8B">
        <w:rPr>
          <w:rFonts w:ascii="Times New Roman" w:hAnsi="Times New Roman"/>
        </w:rPr>
        <w:t>Змін</w:t>
      </w:r>
      <w:r w:rsidRPr="000D167D">
        <w:rPr>
          <w:rFonts w:ascii="Times New Roman" w:hAnsi="Times New Roman"/>
        </w:rPr>
        <w:t>;</w:t>
      </w:r>
    </w:p>
    <w:p w:rsidR="00D802DC" w:rsidRPr="000D167D" w:rsidRDefault="00D802DC" w:rsidP="00D802DC">
      <w:pPr>
        <w:spacing w:line="240" w:lineRule="atLeast"/>
        <w:ind w:left="709" w:hanging="1"/>
        <w:jc w:val="both"/>
        <w:rPr>
          <w:rFonts w:ascii="Times New Roman" w:hAnsi="Times New Roman"/>
        </w:rPr>
      </w:pPr>
      <w:r w:rsidRPr="000D167D">
        <w:rPr>
          <w:rFonts w:ascii="Times New Roman" w:hAnsi="Times New Roman"/>
        </w:rPr>
        <w:t>- ПАТ «Розрахунковий центр» разом з повідомленням про  Зміни, надає інформацію  щодо відповідної послуги/тарифу, описує бізнес-логіку та наводить економічне обґрунтування запланованих змін;</w:t>
      </w:r>
    </w:p>
    <w:p w:rsidR="00D802DC" w:rsidRPr="000D167D" w:rsidRDefault="00D802DC" w:rsidP="00D802DC">
      <w:pPr>
        <w:spacing w:line="240" w:lineRule="atLeast"/>
        <w:ind w:left="709" w:hanging="1"/>
        <w:jc w:val="both"/>
        <w:rPr>
          <w:rFonts w:ascii="Times New Roman" w:hAnsi="Times New Roman"/>
        </w:rPr>
      </w:pPr>
      <w:r w:rsidRPr="000D167D">
        <w:rPr>
          <w:rFonts w:ascii="Times New Roman" w:hAnsi="Times New Roman"/>
        </w:rPr>
        <w:t xml:space="preserve">-  ПАТ «Розрахунковий центр» </w:t>
      </w:r>
      <w:proofErr w:type="spellStart"/>
      <w:r w:rsidRPr="000D167D">
        <w:rPr>
          <w:rFonts w:ascii="Times New Roman" w:hAnsi="Times New Roman"/>
        </w:rPr>
        <w:t>зобов՚язується</w:t>
      </w:r>
      <w:proofErr w:type="spellEnd"/>
      <w:r w:rsidRPr="000D167D">
        <w:rPr>
          <w:rFonts w:ascii="Times New Roman" w:hAnsi="Times New Roman"/>
        </w:rPr>
        <w:t xml:space="preserve"> ґрунтовно розглянути всі побажання, зауваження та пропозиції ПАРД, на кожне з яких надати повну та обґрунтовану відповідь, прагнучи максимально повного задоволення потреб членів ПАРД;</w:t>
      </w:r>
    </w:p>
    <w:p w:rsidR="00D802DC" w:rsidRPr="000D167D" w:rsidRDefault="00D802DC" w:rsidP="00D802DC">
      <w:pPr>
        <w:spacing w:line="240" w:lineRule="atLeast"/>
        <w:ind w:left="709" w:hanging="1"/>
        <w:jc w:val="both"/>
        <w:rPr>
          <w:rFonts w:ascii="Times New Roman" w:hAnsi="Times New Roman"/>
        </w:rPr>
      </w:pPr>
      <w:r w:rsidRPr="000D167D">
        <w:rPr>
          <w:rFonts w:ascii="Times New Roman" w:hAnsi="Times New Roman"/>
        </w:rPr>
        <w:t>- рішення щодо впровадження Змін ПАТ «Розрахунковий центр» приймає виключно після розгляду експертної думки, сформованої ПАРД, яка має бути надана не пізніше ніж протягом одного тижня з дати отримання повідомлення про Зміни. Відсутність відповіді ПАРД протягом вказаного терміну фактично буде означати згоду зі Змінами.</w:t>
      </w:r>
    </w:p>
    <w:p w:rsidR="00D802DC" w:rsidRPr="000D167D" w:rsidRDefault="00D802DC" w:rsidP="00D802DC">
      <w:pPr>
        <w:spacing w:line="240" w:lineRule="atLeast"/>
        <w:ind w:left="709" w:hanging="709"/>
        <w:jc w:val="both"/>
        <w:rPr>
          <w:rFonts w:ascii="Times New Roman" w:hAnsi="Times New Roman"/>
        </w:rPr>
      </w:pPr>
      <w:r w:rsidRPr="000D167D">
        <w:rPr>
          <w:rFonts w:ascii="Times New Roman" w:hAnsi="Times New Roman"/>
        </w:rPr>
        <w:t xml:space="preserve"> (</w:t>
      </w:r>
      <w:r w:rsidR="00CB3BDD">
        <w:rPr>
          <w:rFonts w:ascii="Times New Roman" w:hAnsi="Times New Roman"/>
        </w:rPr>
        <w:t>53</w:t>
      </w:r>
      <w:r w:rsidRPr="000D167D">
        <w:rPr>
          <w:rFonts w:ascii="Times New Roman" w:hAnsi="Times New Roman"/>
        </w:rPr>
        <w:t>)</w:t>
      </w:r>
      <w:r w:rsidRPr="000D167D">
        <w:rPr>
          <w:rFonts w:ascii="Times New Roman" w:hAnsi="Times New Roman"/>
        </w:rPr>
        <w:tab/>
        <w:t>Створення дорадчо-консультативного органу ПАТ «Розрахунковий центр», третину членів якого б становили представники професійних учасників фондового ринку, як це передбачалося Рекомендаціями, відбулося шляхом підписання Меморандуму про співпрацю між ПАТ «Розрахунковий центр» та ПАРД, учасники якої є клієнтами ПАТ «Розрахунковий центр».</w:t>
      </w:r>
    </w:p>
    <w:p w:rsidR="00D802DC" w:rsidRPr="000D167D" w:rsidRDefault="00D802DC" w:rsidP="00D802DC">
      <w:pPr>
        <w:spacing w:line="240" w:lineRule="atLeast"/>
        <w:ind w:left="709" w:hanging="709"/>
        <w:jc w:val="both"/>
        <w:rPr>
          <w:rFonts w:ascii="Times New Roman" w:hAnsi="Times New Roman"/>
        </w:rPr>
      </w:pPr>
      <w:r w:rsidRPr="000D167D">
        <w:rPr>
          <w:rFonts w:ascii="Times New Roman" w:hAnsi="Times New Roman"/>
        </w:rPr>
        <w:t>(5</w:t>
      </w:r>
      <w:r w:rsidR="00CB3BDD">
        <w:rPr>
          <w:rFonts w:ascii="Times New Roman" w:hAnsi="Times New Roman"/>
        </w:rPr>
        <w:t>4</w:t>
      </w:r>
      <w:r w:rsidRPr="000D167D">
        <w:rPr>
          <w:rFonts w:ascii="Times New Roman" w:hAnsi="Times New Roman"/>
        </w:rPr>
        <w:t>)</w:t>
      </w:r>
      <w:r w:rsidRPr="000D167D">
        <w:rPr>
          <w:rFonts w:ascii="Times New Roman" w:hAnsi="Times New Roman"/>
        </w:rPr>
        <w:tab/>
        <w:t xml:space="preserve">Положення Меморандуму передбачають участь клієнтів ПАТ «Розрахунковий центр» в обговоренні  нових послуг, нових тарифів та/або внесення змін до тарифів на </w:t>
      </w:r>
      <w:r w:rsidR="00635923">
        <w:rPr>
          <w:rFonts w:ascii="Times New Roman" w:hAnsi="Times New Roman"/>
        </w:rPr>
        <w:t>наявні</w:t>
      </w:r>
      <w:r w:rsidR="00635923" w:rsidRPr="000D167D">
        <w:rPr>
          <w:rFonts w:ascii="Times New Roman" w:hAnsi="Times New Roman"/>
        </w:rPr>
        <w:t xml:space="preserve"> </w:t>
      </w:r>
      <w:r w:rsidRPr="000D167D">
        <w:rPr>
          <w:rFonts w:ascii="Times New Roman" w:hAnsi="Times New Roman"/>
        </w:rPr>
        <w:t>послуги</w:t>
      </w:r>
      <w:r w:rsidR="00635923">
        <w:rPr>
          <w:rFonts w:ascii="Times New Roman" w:hAnsi="Times New Roman"/>
        </w:rPr>
        <w:t> </w:t>
      </w:r>
      <w:r w:rsidRPr="000D167D">
        <w:rPr>
          <w:rFonts w:ascii="Times New Roman" w:hAnsi="Times New Roman"/>
        </w:rPr>
        <w:t>/</w:t>
      </w:r>
      <w:r w:rsidR="00635923">
        <w:rPr>
          <w:rFonts w:ascii="Times New Roman" w:hAnsi="Times New Roman"/>
        </w:rPr>
        <w:t> </w:t>
      </w:r>
      <w:r w:rsidRPr="000D167D">
        <w:rPr>
          <w:rFonts w:ascii="Times New Roman" w:hAnsi="Times New Roman"/>
        </w:rPr>
        <w:t xml:space="preserve">зміни системи або підходів у порядку тарифікації послуг </w:t>
      </w:r>
      <w:r w:rsidR="00635923" w:rsidRPr="000D167D">
        <w:rPr>
          <w:rFonts w:ascii="Times New Roman" w:hAnsi="Times New Roman"/>
        </w:rPr>
        <w:t>ПАТ</w:t>
      </w:r>
      <w:r w:rsidR="00635923">
        <w:rPr>
          <w:rFonts w:ascii="Times New Roman" w:hAnsi="Times New Roman"/>
        </w:rPr>
        <w:t> </w:t>
      </w:r>
      <w:r w:rsidRPr="000D167D">
        <w:rPr>
          <w:rFonts w:ascii="Times New Roman" w:hAnsi="Times New Roman"/>
        </w:rPr>
        <w:t xml:space="preserve">«Розрахунковий центр», але не дають підстав для обґрунтованого врахування інтересів клієнтів </w:t>
      </w:r>
      <w:r w:rsidR="0005120D">
        <w:rPr>
          <w:rFonts w:ascii="Times New Roman" w:hAnsi="Times New Roman"/>
        </w:rPr>
        <w:t>під час</w:t>
      </w:r>
      <w:r w:rsidR="0005120D" w:rsidRPr="000D167D">
        <w:rPr>
          <w:rFonts w:ascii="Times New Roman" w:hAnsi="Times New Roman"/>
        </w:rPr>
        <w:t xml:space="preserve"> </w:t>
      </w:r>
      <w:r w:rsidRPr="000D167D">
        <w:rPr>
          <w:rFonts w:ascii="Times New Roman" w:hAnsi="Times New Roman"/>
        </w:rPr>
        <w:t>прийнятт</w:t>
      </w:r>
      <w:r w:rsidR="0005120D">
        <w:rPr>
          <w:rFonts w:ascii="Times New Roman" w:hAnsi="Times New Roman"/>
        </w:rPr>
        <w:t>я</w:t>
      </w:r>
      <w:r w:rsidRPr="000D167D">
        <w:rPr>
          <w:rFonts w:ascii="Times New Roman" w:hAnsi="Times New Roman"/>
        </w:rPr>
        <w:t xml:space="preserve"> рішення про запровадження змін, зважаючи на вимоги Положення про тарифну політику публічного акціонерного товариства </w:t>
      </w:r>
      <w:r w:rsidRPr="000D167D">
        <w:rPr>
          <w:rFonts w:ascii="Times New Roman" w:hAnsi="Times New Roman"/>
        </w:rPr>
        <w:lastRenderedPageBreak/>
        <w:t>«Розрахунковий центр з обслуговування договорів на фінансових ринках» (далі – Положення про тарифну політику).</w:t>
      </w:r>
    </w:p>
    <w:p w:rsidR="00D802DC" w:rsidRPr="000D167D" w:rsidRDefault="00D802DC" w:rsidP="00D802DC">
      <w:pPr>
        <w:spacing w:line="240" w:lineRule="atLeast"/>
        <w:ind w:left="709" w:hanging="709"/>
        <w:jc w:val="both"/>
        <w:rPr>
          <w:rFonts w:ascii="Times New Roman" w:hAnsi="Times New Roman"/>
        </w:rPr>
      </w:pPr>
      <w:r w:rsidRPr="000D167D">
        <w:rPr>
          <w:rFonts w:ascii="Times New Roman" w:hAnsi="Times New Roman"/>
        </w:rPr>
        <w:t>(5</w:t>
      </w:r>
      <w:r w:rsidR="00CB3BDD">
        <w:rPr>
          <w:rFonts w:ascii="Times New Roman" w:hAnsi="Times New Roman"/>
        </w:rPr>
        <w:t>5</w:t>
      </w:r>
      <w:r w:rsidRPr="000D167D">
        <w:rPr>
          <w:rFonts w:ascii="Times New Roman" w:hAnsi="Times New Roman"/>
        </w:rPr>
        <w:t>)</w:t>
      </w:r>
      <w:r w:rsidRPr="000D167D">
        <w:rPr>
          <w:rFonts w:ascii="Times New Roman" w:hAnsi="Times New Roman"/>
        </w:rPr>
        <w:tab/>
        <w:t xml:space="preserve">Положення про тарифну політику, викладене </w:t>
      </w:r>
      <w:r w:rsidR="0005120D">
        <w:rPr>
          <w:rFonts w:ascii="Times New Roman" w:hAnsi="Times New Roman"/>
        </w:rPr>
        <w:t>в</w:t>
      </w:r>
      <w:r w:rsidRPr="000D167D">
        <w:rPr>
          <w:rFonts w:ascii="Times New Roman" w:hAnsi="Times New Roman"/>
        </w:rPr>
        <w:t xml:space="preserve"> редакції від 02.09.2019, прийнят</w:t>
      </w:r>
      <w:r w:rsidR="0005120D">
        <w:rPr>
          <w:rFonts w:ascii="Times New Roman" w:hAnsi="Times New Roman"/>
        </w:rPr>
        <w:t>о</w:t>
      </w:r>
      <w:r w:rsidRPr="000D167D">
        <w:rPr>
          <w:rFonts w:ascii="Times New Roman" w:hAnsi="Times New Roman"/>
        </w:rPr>
        <w:t xml:space="preserve"> на виконання Рекомендацій, містить вимоги щодо узгодження тарифів </w:t>
      </w:r>
      <w:r w:rsidR="0005120D">
        <w:rPr>
          <w:rFonts w:ascii="Times New Roman" w:hAnsi="Times New Roman"/>
        </w:rPr>
        <w:t>і</w:t>
      </w:r>
      <w:r w:rsidRPr="000D167D">
        <w:rPr>
          <w:rFonts w:ascii="Times New Roman" w:hAnsi="Times New Roman"/>
        </w:rPr>
        <w:t>з дорадчо-консультативним органом ПАТ «Розрахунковий центр» у порядку</w:t>
      </w:r>
      <w:r w:rsidR="0005120D">
        <w:rPr>
          <w:rFonts w:ascii="Times New Roman" w:hAnsi="Times New Roman"/>
        </w:rPr>
        <w:t>,</w:t>
      </w:r>
      <w:r w:rsidRPr="000D167D">
        <w:rPr>
          <w:rFonts w:ascii="Times New Roman" w:hAnsi="Times New Roman"/>
        </w:rPr>
        <w:t xml:space="preserve"> встановленому відповідним внутрішнім документом ПАТ «Розрахунковий центр», як</w:t>
      </w:r>
      <w:r w:rsidR="0005120D">
        <w:rPr>
          <w:rFonts w:ascii="Times New Roman" w:hAnsi="Times New Roman"/>
        </w:rPr>
        <w:t>е</w:t>
      </w:r>
      <w:r w:rsidRPr="000D167D">
        <w:rPr>
          <w:rFonts w:ascii="Times New Roman" w:hAnsi="Times New Roman"/>
        </w:rPr>
        <w:t xml:space="preserve"> регулює діяльність такого органу.</w:t>
      </w:r>
    </w:p>
    <w:p w:rsidR="00D802DC" w:rsidRPr="000D167D" w:rsidRDefault="00D802DC" w:rsidP="00D802DC">
      <w:pPr>
        <w:spacing w:line="240" w:lineRule="atLeast"/>
        <w:ind w:left="709" w:hanging="709"/>
        <w:jc w:val="both"/>
        <w:rPr>
          <w:rFonts w:ascii="Times New Roman" w:hAnsi="Times New Roman"/>
        </w:rPr>
      </w:pPr>
      <w:r w:rsidRPr="000D167D">
        <w:rPr>
          <w:rFonts w:ascii="Times New Roman" w:hAnsi="Times New Roman"/>
        </w:rPr>
        <w:t>(5</w:t>
      </w:r>
      <w:r w:rsidR="00CB3BDD">
        <w:rPr>
          <w:rFonts w:ascii="Times New Roman" w:hAnsi="Times New Roman"/>
        </w:rPr>
        <w:t>6</w:t>
      </w:r>
      <w:r w:rsidRPr="000D167D">
        <w:rPr>
          <w:rFonts w:ascii="Times New Roman" w:hAnsi="Times New Roman"/>
        </w:rPr>
        <w:t>)</w:t>
      </w:r>
      <w:r w:rsidRPr="000D167D">
        <w:rPr>
          <w:rFonts w:ascii="Times New Roman" w:hAnsi="Times New Roman"/>
        </w:rPr>
        <w:tab/>
        <w:t xml:space="preserve">З метою всебічного, повного та об’єктивного розслідування справи, отримання інформації </w:t>
      </w:r>
      <w:r w:rsidR="00555E94">
        <w:rPr>
          <w:rFonts w:ascii="Times New Roman" w:hAnsi="Times New Roman"/>
        </w:rPr>
        <w:t>про</w:t>
      </w:r>
      <w:r w:rsidRPr="000D167D">
        <w:rPr>
          <w:rFonts w:ascii="Times New Roman" w:hAnsi="Times New Roman"/>
        </w:rPr>
        <w:t xml:space="preserve"> вжиття ПАТ «Розрахунковий центр» належних заходів на виконання рекомендацій для усунення наслідків порушення законодавства про захист економічної конкуренції, Комітетом було запитано відповідну інформацію у ПАРД.</w:t>
      </w:r>
    </w:p>
    <w:p w:rsidR="00D802DC" w:rsidRPr="000D167D" w:rsidRDefault="00D802DC" w:rsidP="00D802DC">
      <w:pPr>
        <w:spacing w:line="240" w:lineRule="atLeast"/>
        <w:ind w:left="709" w:hanging="709"/>
        <w:jc w:val="both"/>
        <w:rPr>
          <w:rFonts w:ascii="Times New Roman" w:hAnsi="Times New Roman"/>
        </w:rPr>
      </w:pPr>
      <w:r w:rsidRPr="000D167D">
        <w:rPr>
          <w:rFonts w:ascii="Times New Roman" w:hAnsi="Times New Roman"/>
        </w:rPr>
        <w:t>(5</w:t>
      </w:r>
      <w:r w:rsidR="00CB3BDD">
        <w:rPr>
          <w:rFonts w:ascii="Times New Roman" w:hAnsi="Times New Roman"/>
        </w:rPr>
        <w:t>7</w:t>
      </w:r>
      <w:r w:rsidRPr="000D167D">
        <w:rPr>
          <w:rFonts w:ascii="Times New Roman" w:hAnsi="Times New Roman"/>
        </w:rPr>
        <w:t>)</w:t>
      </w:r>
      <w:r w:rsidRPr="000D167D">
        <w:rPr>
          <w:rFonts w:ascii="Times New Roman" w:hAnsi="Times New Roman"/>
        </w:rPr>
        <w:tab/>
        <w:t xml:space="preserve">ПАРД листом від 22.01.2020 № 4-01 повідомила, зокрема, </w:t>
      </w:r>
      <w:r w:rsidR="00555E94">
        <w:rPr>
          <w:rFonts w:ascii="Times New Roman" w:hAnsi="Times New Roman"/>
        </w:rPr>
        <w:t>таке</w:t>
      </w:r>
      <w:r w:rsidRPr="000D167D">
        <w:rPr>
          <w:rFonts w:ascii="Times New Roman" w:hAnsi="Times New Roman"/>
        </w:rPr>
        <w:t>.</w:t>
      </w:r>
    </w:p>
    <w:p w:rsidR="00D802DC" w:rsidRPr="000D167D" w:rsidRDefault="00D802DC" w:rsidP="00D802DC">
      <w:pPr>
        <w:spacing w:line="240" w:lineRule="atLeast"/>
        <w:ind w:left="709" w:hanging="709"/>
        <w:jc w:val="both"/>
        <w:rPr>
          <w:rFonts w:ascii="Times New Roman" w:hAnsi="Times New Roman"/>
        </w:rPr>
      </w:pPr>
      <w:r w:rsidRPr="000D167D">
        <w:rPr>
          <w:rFonts w:ascii="Times New Roman" w:hAnsi="Times New Roman"/>
        </w:rPr>
        <w:tab/>
        <w:t xml:space="preserve">На засіданні Експертної ради ПАРД 15.01.2020 обговорено питання виконання </w:t>
      </w:r>
      <w:r w:rsidR="00555E94" w:rsidRPr="000D167D">
        <w:rPr>
          <w:rFonts w:ascii="Times New Roman" w:hAnsi="Times New Roman"/>
        </w:rPr>
        <w:t>ПАТ</w:t>
      </w:r>
      <w:r w:rsidR="00555E94">
        <w:rPr>
          <w:rFonts w:ascii="Times New Roman" w:hAnsi="Times New Roman"/>
        </w:rPr>
        <w:t> </w:t>
      </w:r>
      <w:r w:rsidRPr="000D167D">
        <w:rPr>
          <w:rFonts w:ascii="Times New Roman" w:hAnsi="Times New Roman"/>
        </w:rPr>
        <w:t xml:space="preserve">«Розрахунковий центр» </w:t>
      </w:r>
      <w:r w:rsidR="00555E94">
        <w:rPr>
          <w:rFonts w:ascii="Times New Roman" w:hAnsi="Times New Roman"/>
        </w:rPr>
        <w:t>р</w:t>
      </w:r>
      <w:r w:rsidRPr="000D167D">
        <w:rPr>
          <w:rFonts w:ascii="Times New Roman" w:hAnsi="Times New Roman"/>
        </w:rPr>
        <w:t>екомендацій Комітету від 25.07.2019 № 52-рк та визнано, що ПАТ «Розрахунковий центр» виконало Рекомендації, а саме:</w:t>
      </w:r>
    </w:p>
    <w:p w:rsidR="00D802DC" w:rsidRPr="000D167D" w:rsidRDefault="00D802DC" w:rsidP="00D802DC">
      <w:pPr>
        <w:spacing w:line="240" w:lineRule="atLeast"/>
        <w:ind w:left="709" w:hanging="709"/>
        <w:jc w:val="both"/>
        <w:rPr>
          <w:rFonts w:ascii="Times New Roman" w:hAnsi="Times New Roman"/>
        </w:rPr>
      </w:pPr>
      <w:r w:rsidRPr="000D167D">
        <w:rPr>
          <w:rFonts w:ascii="Times New Roman" w:hAnsi="Times New Roman"/>
        </w:rPr>
        <w:tab/>
        <w:t xml:space="preserve">- має намір підписати меморандум про співпрацю з ПАРД </w:t>
      </w:r>
      <w:r w:rsidR="00081F9B">
        <w:rPr>
          <w:rFonts w:ascii="Times New Roman" w:hAnsi="Times New Roman"/>
        </w:rPr>
        <w:t>у</w:t>
      </w:r>
      <w:r w:rsidRPr="000D167D">
        <w:rPr>
          <w:rFonts w:ascii="Times New Roman" w:hAnsi="Times New Roman"/>
        </w:rPr>
        <w:t xml:space="preserve"> редакції</w:t>
      </w:r>
      <w:r w:rsidR="00081F9B">
        <w:rPr>
          <w:rFonts w:ascii="Times New Roman" w:hAnsi="Times New Roman"/>
        </w:rPr>
        <w:t>,</w:t>
      </w:r>
      <w:r w:rsidRPr="000D167D">
        <w:rPr>
          <w:rFonts w:ascii="Times New Roman" w:hAnsi="Times New Roman"/>
        </w:rPr>
        <w:t xml:space="preserve"> погодженій з Експертною радою з питань удосконалення інфраструктури фінансового ринку ПАРД. У випадку впровадження ПАТ «Розрахунковий центр» нових послуг, нових тарифів та/або внесення змін до тарифів на </w:t>
      </w:r>
      <w:r w:rsidR="00081F9B">
        <w:rPr>
          <w:rFonts w:ascii="Times New Roman" w:hAnsi="Times New Roman"/>
        </w:rPr>
        <w:t xml:space="preserve">наявні </w:t>
      </w:r>
      <w:r w:rsidRPr="000D167D">
        <w:rPr>
          <w:rFonts w:ascii="Times New Roman" w:hAnsi="Times New Roman"/>
        </w:rPr>
        <w:t>послуги</w:t>
      </w:r>
      <w:r w:rsidR="00081F9B">
        <w:rPr>
          <w:rFonts w:ascii="Times New Roman" w:hAnsi="Times New Roman"/>
        </w:rPr>
        <w:t>,</w:t>
      </w:r>
      <w:r w:rsidRPr="000D167D">
        <w:rPr>
          <w:rFonts w:ascii="Times New Roman" w:hAnsi="Times New Roman"/>
        </w:rPr>
        <w:t xml:space="preserve"> про це повідомляється Експертна рада не пізніше ніж за 2 (два) тижні до запланованої дати їх впровадження; Експертна рада забезпечує скликання та проведення засідання щодо питання впровадження </w:t>
      </w:r>
      <w:r w:rsidR="00081F9B" w:rsidRPr="000D167D">
        <w:rPr>
          <w:rFonts w:ascii="Times New Roman" w:hAnsi="Times New Roman"/>
        </w:rPr>
        <w:t>ПАТ</w:t>
      </w:r>
      <w:r w:rsidR="00081F9B">
        <w:rPr>
          <w:rFonts w:ascii="Times New Roman" w:hAnsi="Times New Roman"/>
        </w:rPr>
        <w:t> </w:t>
      </w:r>
      <w:r w:rsidRPr="000D167D">
        <w:rPr>
          <w:rFonts w:ascii="Times New Roman" w:hAnsi="Times New Roman"/>
        </w:rPr>
        <w:t xml:space="preserve">«Розрахунковий центр» нових послуг, нових тарифів та/або внесення змін до тарифів на </w:t>
      </w:r>
      <w:r w:rsidR="00081F9B">
        <w:rPr>
          <w:rFonts w:ascii="Times New Roman" w:hAnsi="Times New Roman"/>
        </w:rPr>
        <w:t>наявні</w:t>
      </w:r>
      <w:r w:rsidR="00081F9B" w:rsidRPr="000D167D">
        <w:rPr>
          <w:rFonts w:ascii="Times New Roman" w:hAnsi="Times New Roman"/>
        </w:rPr>
        <w:t xml:space="preserve"> </w:t>
      </w:r>
      <w:r w:rsidRPr="000D167D">
        <w:rPr>
          <w:rFonts w:ascii="Times New Roman" w:hAnsi="Times New Roman"/>
        </w:rPr>
        <w:t xml:space="preserve">послуги та затверджує свої зауваження і пропозиції; після </w:t>
      </w:r>
      <w:r w:rsidR="00081F9B">
        <w:rPr>
          <w:rFonts w:ascii="Times New Roman" w:hAnsi="Times New Roman"/>
        </w:rPr>
        <w:t>ць</w:t>
      </w:r>
      <w:r w:rsidR="00081F9B" w:rsidRPr="000D167D">
        <w:rPr>
          <w:rFonts w:ascii="Times New Roman" w:hAnsi="Times New Roman"/>
        </w:rPr>
        <w:t>ого ПАТ</w:t>
      </w:r>
      <w:r w:rsidR="00081F9B">
        <w:rPr>
          <w:rFonts w:ascii="Times New Roman" w:hAnsi="Times New Roman"/>
        </w:rPr>
        <w:t> </w:t>
      </w:r>
      <w:r w:rsidRPr="000D167D">
        <w:rPr>
          <w:rFonts w:ascii="Times New Roman" w:hAnsi="Times New Roman"/>
        </w:rPr>
        <w:t xml:space="preserve">«Розрахунковий центр» </w:t>
      </w:r>
      <w:proofErr w:type="spellStart"/>
      <w:r w:rsidRPr="000D167D">
        <w:rPr>
          <w:rFonts w:ascii="Times New Roman" w:hAnsi="Times New Roman"/>
        </w:rPr>
        <w:t>зобовʼязується</w:t>
      </w:r>
      <w:proofErr w:type="spellEnd"/>
      <w:r w:rsidRPr="000D167D">
        <w:rPr>
          <w:rFonts w:ascii="Times New Roman" w:hAnsi="Times New Roman"/>
        </w:rPr>
        <w:t xml:space="preserve"> ґрунтовно розглянути всі побажання, зауваження та пропозиції членів Експертної ради та на кожне з </w:t>
      </w:r>
      <w:r w:rsidR="00081F9B">
        <w:rPr>
          <w:rFonts w:ascii="Times New Roman" w:hAnsi="Times New Roman"/>
        </w:rPr>
        <w:t>н</w:t>
      </w:r>
      <w:r w:rsidR="00081F9B" w:rsidRPr="000D167D">
        <w:rPr>
          <w:rFonts w:ascii="Times New Roman" w:hAnsi="Times New Roman"/>
        </w:rPr>
        <w:t xml:space="preserve">их </w:t>
      </w:r>
      <w:r w:rsidRPr="000D167D">
        <w:rPr>
          <w:rFonts w:ascii="Times New Roman" w:hAnsi="Times New Roman"/>
        </w:rPr>
        <w:t>надати повну та обґрунтовану відповідь, прагнуч</w:t>
      </w:r>
      <w:r w:rsidR="00081F9B">
        <w:rPr>
          <w:rFonts w:ascii="Times New Roman" w:hAnsi="Times New Roman"/>
        </w:rPr>
        <w:t>и</w:t>
      </w:r>
      <w:r w:rsidRPr="000D167D">
        <w:rPr>
          <w:rFonts w:ascii="Times New Roman" w:hAnsi="Times New Roman"/>
        </w:rPr>
        <w:t xml:space="preserve"> максимально повного задоволення висловлених потреб, та приймати рішення виключно тільки після розгляду експертної думки;</w:t>
      </w:r>
    </w:p>
    <w:p w:rsidR="00D802DC" w:rsidRPr="000D167D" w:rsidRDefault="00D802DC" w:rsidP="00D802DC">
      <w:pPr>
        <w:spacing w:line="240" w:lineRule="atLeast"/>
        <w:ind w:left="709" w:hanging="709"/>
        <w:jc w:val="both"/>
        <w:rPr>
          <w:rFonts w:ascii="Times New Roman" w:hAnsi="Times New Roman"/>
        </w:rPr>
      </w:pPr>
      <w:r w:rsidRPr="000D167D">
        <w:rPr>
          <w:rFonts w:ascii="Times New Roman" w:hAnsi="Times New Roman"/>
        </w:rPr>
        <w:tab/>
        <w:t xml:space="preserve">- вжило заходів для встановлення порядку формування тарифів на клірингові послуги, які не надаються іншими </w:t>
      </w:r>
      <w:proofErr w:type="spellStart"/>
      <w:r w:rsidRPr="000D167D">
        <w:rPr>
          <w:rFonts w:ascii="Times New Roman" w:hAnsi="Times New Roman"/>
        </w:rPr>
        <w:t>субʼєктами</w:t>
      </w:r>
      <w:proofErr w:type="spellEnd"/>
      <w:r w:rsidRPr="000D167D">
        <w:rPr>
          <w:rFonts w:ascii="Times New Roman" w:hAnsi="Times New Roman"/>
        </w:rPr>
        <w:t xml:space="preserve"> господарювання, шляхом внесення змін до Положення про тарифну політику ПАТ «Розрахунковий центр», які передбачають перелік складових вартості послуг, підстави, умови та порядок їх перерахунку.</w:t>
      </w:r>
    </w:p>
    <w:p w:rsidR="00D802DC" w:rsidRPr="000D167D" w:rsidRDefault="00D802DC" w:rsidP="00D802DC">
      <w:pPr>
        <w:spacing w:line="240" w:lineRule="atLeast"/>
        <w:ind w:left="709" w:hanging="1"/>
        <w:jc w:val="both"/>
        <w:rPr>
          <w:rFonts w:ascii="Times New Roman" w:hAnsi="Times New Roman"/>
        </w:rPr>
      </w:pPr>
      <w:r w:rsidRPr="000D167D">
        <w:rPr>
          <w:rFonts w:ascii="Times New Roman" w:hAnsi="Times New Roman"/>
        </w:rPr>
        <w:t>Крім того, вирішено запропонувати ПАТ «Розрахунковий центр» додати уточню</w:t>
      </w:r>
      <w:r w:rsidR="000229A7">
        <w:rPr>
          <w:rFonts w:ascii="Times New Roman" w:hAnsi="Times New Roman"/>
        </w:rPr>
        <w:t>вальні</w:t>
      </w:r>
      <w:r w:rsidRPr="000D167D">
        <w:rPr>
          <w:rFonts w:ascii="Times New Roman" w:hAnsi="Times New Roman"/>
        </w:rPr>
        <w:t xml:space="preserve"> норми, а саме</w:t>
      </w:r>
      <w:r w:rsidR="000229A7">
        <w:rPr>
          <w:rFonts w:ascii="Times New Roman" w:hAnsi="Times New Roman"/>
        </w:rPr>
        <w:t>:</w:t>
      </w:r>
      <w:r w:rsidRPr="000D167D">
        <w:rPr>
          <w:rFonts w:ascii="Times New Roman" w:hAnsi="Times New Roman"/>
        </w:rPr>
        <w:t xml:space="preserve"> пряме посилання на Експертну раду ПАРД з питань удосконалення інфраструктури фінансового ринку в п</w:t>
      </w:r>
      <w:r w:rsidR="000229A7">
        <w:rPr>
          <w:rFonts w:ascii="Times New Roman" w:hAnsi="Times New Roman"/>
        </w:rPr>
        <w:t>унктах</w:t>
      </w:r>
      <w:r w:rsidRPr="000D167D">
        <w:rPr>
          <w:rFonts w:ascii="Times New Roman" w:hAnsi="Times New Roman"/>
        </w:rPr>
        <w:t xml:space="preserve"> 1.3, 2.2 та право ініціювати перед виконавчим органом перегляд тарифів ПАТ «Розрахунковий центр».</w:t>
      </w:r>
    </w:p>
    <w:p w:rsidR="00D802DC" w:rsidRPr="000D167D" w:rsidRDefault="00D802DC" w:rsidP="00D802DC">
      <w:pPr>
        <w:spacing w:line="240" w:lineRule="atLeast"/>
        <w:ind w:left="709" w:hanging="709"/>
        <w:jc w:val="both"/>
        <w:rPr>
          <w:rFonts w:ascii="Times New Roman" w:hAnsi="Times New Roman"/>
        </w:rPr>
      </w:pPr>
      <w:r w:rsidRPr="000D167D">
        <w:rPr>
          <w:rFonts w:ascii="Times New Roman" w:hAnsi="Times New Roman"/>
        </w:rPr>
        <w:tab/>
        <w:t>Меморандум між ПАРД та ПАТ «Розрахунковий центр» був підписаний 20.01.2020.</w:t>
      </w:r>
    </w:p>
    <w:p w:rsidR="000D167D" w:rsidRPr="000D167D" w:rsidRDefault="00D802DC" w:rsidP="000D167D">
      <w:pPr>
        <w:pStyle w:val="-11"/>
        <w:numPr>
          <w:ilvl w:val="0"/>
          <w:numId w:val="0"/>
        </w:numPr>
        <w:spacing w:before="0" w:after="0" w:line="240" w:lineRule="atLeast"/>
        <w:ind w:left="737" w:hanging="737"/>
      </w:pPr>
      <w:r w:rsidRPr="000D167D">
        <w:t>(5</w:t>
      </w:r>
      <w:r w:rsidR="00CB3BDD">
        <w:t>8</w:t>
      </w:r>
      <w:r w:rsidRPr="000D167D">
        <w:t>)</w:t>
      </w:r>
      <w:r w:rsidRPr="000D167D">
        <w:tab/>
      </w:r>
      <w:r w:rsidR="000D167D" w:rsidRPr="000D167D">
        <w:t xml:space="preserve">У період </w:t>
      </w:r>
      <w:r w:rsidR="000229A7">
        <w:t>і</w:t>
      </w:r>
      <w:r w:rsidR="000D167D" w:rsidRPr="000D167D">
        <w:t xml:space="preserve">з листопада 2019 по січень 2020 </w:t>
      </w:r>
      <w:r w:rsidR="000229A7">
        <w:t xml:space="preserve">року </w:t>
      </w:r>
      <w:r w:rsidR="000D167D" w:rsidRPr="000D167D">
        <w:t xml:space="preserve">Комітетом було проведено опитування Заявників у справі щодо повноти виконання ПАТ «Розрахунковий центр» </w:t>
      </w:r>
      <w:r w:rsidR="000229A7">
        <w:t>р</w:t>
      </w:r>
      <w:r w:rsidR="000D167D" w:rsidRPr="000D167D">
        <w:t>екомендацій Комітету від 25.07.2019 № 52-рк.</w:t>
      </w:r>
    </w:p>
    <w:p w:rsidR="000D167D" w:rsidRPr="000D167D" w:rsidRDefault="00CB3BDD" w:rsidP="000D167D">
      <w:pPr>
        <w:pStyle w:val="-11"/>
        <w:numPr>
          <w:ilvl w:val="0"/>
          <w:numId w:val="0"/>
        </w:numPr>
        <w:spacing w:before="0" w:after="0" w:line="240" w:lineRule="atLeast"/>
        <w:ind w:left="737" w:hanging="737"/>
        <w:rPr>
          <w:lang w:val="ru-RU"/>
        </w:rPr>
      </w:pPr>
      <w:r>
        <w:t>(59</w:t>
      </w:r>
      <w:r w:rsidR="000D167D" w:rsidRPr="000D167D">
        <w:t>)</w:t>
      </w:r>
      <w:r w:rsidR="000D167D" w:rsidRPr="000D167D">
        <w:tab/>
        <w:t>Здебільшого Заявники у справі зазначили, що вважають Рекомендації виконаними частково, оскільки зміни до Положення про тарифну політику не призвели до зменшення тарифів та не містять порядку подання та розгляду пропозицій, зокрема, дорадчо-консультативного органу, а також зобов’язань щодо їх врахування.</w:t>
      </w:r>
    </w:p>
    <w:p w:rsidR="000D167D" w:rsidRPr="000D167D" w:rsidRDefault="000D167D" w:rsidP="000D167D">
      <w:pPr>
        <w:pStyle w:val="-11"/>
        <w:numPr>
          <w:ilvl w:val="0"/>
          <w:numId w:val="0"/>
        </w:numPr>
        <w:spacing w:before="0" w:after="0" w:line="240" w:lineRule="atLeast"/>
        <w:ind w:left="737" w:hanging="737"/>
        <w:rPr>
          <w:lang w:val="ru-RU"/>
        </w:rPr>
      </w:pPr>
      <w:r>
        <w:t>(</w:t>
      </w:r>
      <w:r w:rsidRPr="000D167D">
        <w:rPr>
          <w:lang w:val="ru-RU"/>
        </w:rPr>
        <w:t>6</w:t>
      </w:r>
      <w:r w:rsidR="00CB3BDD">
        <w:rPr>
          <w:lang w:val="ru-RU"/>
        </w:rPr>
        <w:t>0</w:t>
      </w:r>
      <w:r w:rsidRPr="000D167D">
        <w:t>)</w:t>
      </w:r>
      <w:r w:rsidRPr="000D167D">
        <w:rPr>
          <w:lang w:val="ru-RU"/>
        </w:rPr>
        <w:t xml:space="preserve">  </w:t>
      </w:r>
      <w:r w:rsidRPr="000D167D">
        <w:t xml:space="preserve">Комітет не </w:t>
      </w:r>
      <w:r w:rsidR="000229A7">
        <w:t>бере</w:t>
      </w:r>
      <w:r w:rsidRPr="000D167D">
        <w:t xml:space="preserve"> до уваги доводи заявників щодо часткового виконання рекомендацій виходячи з </w:t>
      </w:r>
      <w:r w:rsidR="000229A7">
        <w:t>такого</w:t>
      </w:r>
      <w:r w:rsidRPr="000D167D">
        <w:t xml:space="preserve">: </w:t>
      </w:r>
    </w:p>
    <w:p w:rsidR="000D167D" w:rsidRPr="000D167D" w:rsidRDefault="004C6883" w:rsidP="00B85B96">
      <w:pPr>
        <w:pStyle w:val="-11"/>
        <w:numPr>
          <w:ilvl w:val="0"/>
          <w:numId w:val="0"/>
        </w:numPr>
        <w:tabs>
          <w:tab w:val="left" w:pos="851"/>
        </w:tabs>
        <w:spacing w:before="0" w:after="0" w:line="240" w:lineRule="atLeast"/>
        <w:ind w:left="709"/>
        <w:rPr>
          <w:lang w:val="ru-RU"/>
        </w:rPr>
      </w:pPr>
      <w:r w:rsidRPr="000D167D">
        <w:t>-</w:t>
      </w:r>
      <w:r>
        <w:t xml:space="preserve"> </w:t>
      </w:r>
      <w:r w:rsidR="000D167D" w:rsidRPr="000D167D">
        <w:t>дії ПАТ «Розрахунковий центр», які є предметом розслідування у справі</w:t>
      </w:r>
      <w:r>
        <w:t>,</w:t>
      </w:r>
      <w:r w:rsidR="000D167D" w:rsidRPr="000D167D">
        <w:t xml:space="preserve"> полягали у застосуванні різних підходів до встановлення вартості послуги з обслуговування клірингового рахунку, здійснюючи тарифікацію окремих послуг, які можуть бути складовою основної послуги;</w:t>
      </w:r>
    </w:p>
    <w:p w:rsidR="000D167D" w:rsidRPr="000D167D" w:rsidRDefault="000D167D" w:rsidP="000D167D">
      <w:pPr>
        <w:pStyle w:val="-11"/>
        <w:numPr>
          <w:ilvl w:val="0"/>
          <w:numId w:val="0"/>
        </w:numPr>
        <w:tabs>
          <w:tab w:val="left" w:pos="851"/>
        </w:tabs>
        <w:spacing w:before="0" w:after="0" w:line="240" w:lineRule="atLeast"/>
        <w:ind w:left="709"/>
        <w:rPr>
          <w:lang w:val="ru-RU"/>
        </w:rPr>
      </w:pPr>
      <w:r w:rsidRPr="000D167D">
        <w:t>- Рекомендаціями Комітету було рекомендовано ПАТ «Розрахунковий центр» ужити заходів для створення постійно діючого дорадчо-консультативного органу</w:t>
      </w:r>
      <w:r w:rsidR="004C6883">
        <w:t xml:space="preserve"> </w:t>
      </w:r>
      <w:r w:rsidRPr="000D167D">
        <w:t>ПАТ</w:t>
      </w:r>
      <w:r w:rsidR="004C6883">
        <w:t> </w:t>
      </w:r>
      <w:r w:rsidRPr="000D167D">
        <w:t>«Розрахунковий центр» та встановлення порядку формування тарифів на клірингові послуги, які не надають інш</w:t>
      </w:r>
      <w:r w:rsidR="004C6883">
        <w:t>і</w:t>
      </w:r>
      <w:r w:rsidRPr="000D167D">
        <w:t xml:space="preserve"> суб’єкти господарювання, в якому </w:t>
      </w:r>
      <w:r w:rsidRPr="000D167D">
        <w:lastRenderedPageBreak/>
        <w:t>передбачити чіткий, вичерпний перелік складових вартості послуг, підстави, умови та порядок їх перерахунку. Тобто, розмір тарифів на послуги ПАТ «Розрахунковий центр» не був предметом Рекомендацій;</w:t>
      </w:r>
    </w:p>
    <w:p w:rsidR="000D167D" w:rsidRPr="000D167D" w:rsidRDefault="000D167D" w:rsidP="000D167D">
      <w:pPr>
        <w:pStyle w:val="-11"/>
        <w:numPr>
          <w:ilvl w:val="0"/>
          <w:numId w:val="0"/>
        </w:numPr>
        <w:spacing w:before="0" w:after="0" w:line="240" w:lineRule="atLeast"/>
        <w:ind w:left="737" w:hanging="28"/>
      </w:pPr>
      <w:proofErr w:type="gramStart"/>
      <w:r w:rsidRPr="000D167D">
        <w:rPr>
          <w:lang w:val="ru-RU"/>
        </w:rPr>
        <w:t xml:space="preserve">- </w:t>
      </w:r>
      <w:r w:rsidRPr="000D167D">
        <w:t>ПАТ «Розрахунковий центр» пров</w:t>
      </w:r>
      <w:r w:rsidR="00873CE1">
        <w:t>ело</w:t>
      </w:r>
      <w:r w:rsidRPr="000D167D">
        <w:t xml:space="preserve"> суттєву роботу </w:t>
      </w:r>
      <w:r w:rsidR="00873CE1">
        <w:t>з</w:t>
      </w:r>
      <w:r w:rsidRPr="000D167D">
        <w:t xml:space="preserve"> внесенн</w:t>
      </w:r>
      <w:r w:rsidR="00873CE1">
        <w:t>я</w:t>
      </w:r>
      <w:r w:rsidRPr="000D167D">
        <w:t xml:space="preserve"> змін до Положення про тарифну політику, </w:t>
      </w:r>
      <w:r w:rsidR="00873CE1">
        <w:t>щодо</w:t>
      </w:r>
      <w:r w:rsidRPr="000D167D">
        <w:t xml:space="preserve"> комунікаці</w:t>
      </w:r>
      <w:r w:rsidR="000C6F8C">
        <w:t>й</w:t>
      </w:r>
      <w:r w:rsidRPr="000D167D">
        <w:t xml:space="preserve"> з учасниками ринку, </w:t>
      </w:r>
      <w:proofErr w:type="spellStart"/>
      <w:r w:rsidRPr="000D167D">
        <w:t>саморегулівними</w:t>
      </w:r>
      <w:proofErr w:type="spellEnd"/>
      <w:r w:rsidRPr="000D167D">
        <w:t xml:space="preserve"> організаціями та фондовими біржами, які були </w:t>
      </w:r>
      <w:r w:rsidR="000C6F8C">
        <w:t>спрямовані</w:t>
      </w:r>
      <w:r w:rsidR="000C6F8C" w:rsidRPr="000D167D">
        <w:t xml:space="preserve"> </w:t>
      </w:r>
      <w:r w:rsidRPr="000D167D">
        <w:t>на майбутн</w:t>
      </w:r>
      <w:r w:rsidR="000C6F8C">
        <w:t>ю</w:t>
      </w:r>
      <w:r w:rsidRPr="000D167D">
        <w:t xml:space="preserve"> спів</w:t>
      </w:r>
      <w:r w:rsidR="000C6F8C">
        <w:t>працю</w:t>
      </w:r>
      <w:r w:rsidRPr="000D167D">
        <w:t xml:space="preserve"> в частині зміни тарифів за умови попередніх консультацій </w:t>
      </w:r>
      <w:r w:rsidR="000C6F8C">
        <w:t>і</w:t>
      </w:r>
      <w:r w:rsidRPr="000D167D">
        <w:t>з дорадчо-консультативним органом ПАТ «Розрахунковий центр».</w:t>
      </w:r>
      <w:proofErr w:type="gramEnd"/>
    </w:p>
    <w:p w:rsidR="000D167D" w:rsidRPr="000D167D" w:rsidRDefault="00CB3BDD" w:rsidP="000D167D">
      <w:pPr>
        <w:pStyle w:val="-11"/>
        <w:numPr>
          <w:ilvl w:val="0"/>
          <w:numId w:val="0"/>
        </w:numPr>
        <w:spacing w:before="0" w:after="0" w:line="240" w:lineRule="atLeast"/>
        <w:ind w:left="737" w:hanging="737"/>
      </w:pPr>
      <w:r>
        <w:t>(61</w:t>
      </w:r>
      <w:r w:rsidR="000D167D" w:rsidRPr="000D167D">
        <w:t xml:space="preserve">)   Разом </w:t>
      </w:r>
      <w:r w:rsidR="00D30C0F">
        <w:t>і</w:t>
      </w:r>
      <w:r w:rsidR="000D167D" w:rsidRPr="000D167D">
        <w:t>з цим після підписання Меморандуму між ПАРД та ПАТ «Розрахунковий центр» механізм погодження тарифів на послуги, закладений у Меморандумі</w:t>
      </w:r>
      <w:r w:rsidR="00D30C0F">
        <w:t>,</w:t>
      </w:r>
      <w:r w:rsidR="000D167D" w:rsidRPr="000D167D">
        <w:t xml:space="preserve"> отримав практичну реалізацію, зокрема</w:t>
      </w:r>
      <w:r w:rsidR="00D30C0F">
        <w:t>,</w:t>
      </w:r>
      <w:r w:rsidR="000D167D" w:rsidRPr="000D167D">
        <w:t xml:space="preserve"> у випадку погодження нового сервісу                                  ПАТ «Розрахунковий центр» та затвердження тарифів на нього.</w:t>
      </w:r>
    </w:p>
    <w:p w:rsidR="000D167D" w:rsidRPr="000D167D" w:rsidRDefault="00CB3BDD" w:rsidP="000D167D">
      <w:pPr>
        <w:pStyle w:val="-11"/>
        <w:numPr>
          <w:ilvl w:val="0"/>
          <w:numId w:val="0"/>
        </w:numPr>
        <w:spacing w:before="0" w:after="0" w:line="240" w:lineRule="atLeast"/>
        <w:ind w:left="737" w:hanging="737"/>
      </w:pPr>
      <w:r>
        <w:t>(62</w:t>
      </w:r>
      <w:r w:rsidR="000D167D" w:rsidRPr="000D167D">
        <w:t xml:space="preserve">) </w:t>
      </w:r>
      <w:r w:rsidR="000D167D" w:rsidRPr="000D167D">
        <w:tab/>
        <w:t>За наданою листом ПАТ «Розрахунковий центр» від 23.07.2020 № 738 інформацією:</w:t>
      </w:r>
    </w:p>
    <w:p w:rsidR="000D167D" w:rsidRPr="000D167D" w:rsidRDefault="000D167D" w:rsidP="000D167D">
      <w:pPr>
        <w:pStyle w:val="-11"/>
        <w:numPr>
          <w:ilvl w:val="0"/>
          <w:numId w:val="0"/>
        </w:numPr>
        <w:spacing w:before="0" w:after="0" w:line="240" w:lineRule="atLeast"/>
        <w:ind w:left="737" w:hanging="737"/>
      </w:pPr>
      <w:r w:rsidRPr="000D167D">
        <w:tab/>
      </w:r>
      <w:r w:rsidRPr="000D167D">
        <w:tab/>
        <w:t>- 30.01.2020 ПАТ «Розрахунковий центр» звернулось до ПАРД з інформацією про заплановане впровадження нового сервісу із клірингу зобов’язань за правочинами щодо цінних паперів, укладеними на фондовій біржі, забезпечени</w:t>
      </w:r>
      <w:r w:rsidR="001A0D3E">
        <w:t>ми</w:t>
      </w:r>
      <w:r w:rsidRPr="000D167D">
        <w:t xml:space="preserve"> зустрічними зобов’язаннями, умовами його тарифікації, описом бізнес-логіки та наведенням обґрунтування запланованих змін;</w:t>
      </w:r>
    </w:p>
    <w:p w:rsidR="000D167D" w:rsidRPr="000D167D" w:rsidRDefault="000D167D" w:rsidP="000D167D">
      <w:pPr>
        <w:pStyle w:val="-11"/>
        <w:numPr>
          <w:ilvl w:val="0"/>
          <w:numId w:val="0"/>
        </w:numPr>
        <w:spacing w:before="0" w:after="0" w:line="240" w:lineRule="atLeast"/>
        <w:ind w:left="737" w:hanging="737"/>
      </w:pPr>
      <w:r w:rsidRPr="000D167D">
        <w:tab/>
      </w:r>
      <w:r w:rsidRPr="000D167D">
        <w:tab/>
        <w:t>- 05.02.2020 на засіданні Експертної ради ПАРД підтримано запровадження нового сервісу ПАТ «Розрахунковий центр» та умови його тарифікації;</w:t>
      </w:r>
    </w:p>
    <w:p w:rsidR="000D167D" w:rsidRPr="000D167D" w:rsidRDefault="000D167D" w:rsidP="000D167D">
      <w:pPr>
        <w:pStyle w:val="-11"/>
        <w:numPr>
          <w:ilvl w:val="0"/>
          <w:numId w:val="0"/>
        </w:numPr>
        <w:spacing w:before="0" w:after="0" w:line="240" w:lineRule="atLeast"/>
        <w:ind w:left="737" w:hanging="737"/>
      </w:pPr>
      <w:r w:rsidRPr="000D167D">
        <w:tab/>
      </w:r>
      <w:r w:rsidRPr="000D167D">
        <w:tab/>
        <w:t xml:space="preserve">- 07.02.2020 ПАТ «Розрахунковий центр» запроваджено новий сервіс та затверджено його тариф.   </w:t>
      </w:r>
    </w:p>
    <w:p w:rsidR="000D167D" w:rsidRDefault="00CB3BDD" w:rsidP="000D167D">
      <w:pPr>
        <w:pStyle w:val="-11"/>
        <w:numPr>
          <w:ilvl w:val="0"/>
          <w:numId w:val="0"/>
        </w:numPr>
        <w:spacing w:before="0" w:after="0" w:line="240" w:lineRule="atLeast"/>
        <w:ind w:left="737" w:hanging="737"/>
        <w:rPr>
          <w:bCs w:val="0"/>
          <w:iCs/>
        </w:rPr>
      </w:pPr>
      <w:r>
        <w:rPr>
          <w:bCs w:val="0"/>
          <w:iCs/>
        </w:rPr>
        <w:t>(63</w:t>
      </w:r>
      <w:r w:rsidR="000D167D" w:rsidRPr="000D167D">
        <w:rPr>
          <w:bCs w:val="0"/>
          <w:iCs/>
        </w:rPr>
        <w:t>)</w:t>
      </w:r>
      <w:r w:rsidR="000D167D" w:rsidRPr="000D167D">
        <w:rPr>
          <w:bCs w:val="0"/>
          <w:iCs/>
        </w:rPr>
        <w:tab/>
        <w:t xml:space="preserve">Також </w:t>
      </w:r>
      <w:r w:rsidR="00FA4B60">
        <w:rPr>
          <w:bCs w:val="0"/>
          <w:iCs/>
        </w:rPr>
        <w:t xml:space="preserve">у </w:t>
      </w:r>
      <w:r w:rsidR="000D167D" w:rsidRPr="000D167D">
        <w:rPr>
          <w:bCs w:val="0"/>
          <w:iCs/>
        </w:rPr>
        <w:t>зазначен</w:t>
      </w:r>
      <w:r w:rsidR="00FA4B60">
        <w:rPr>
          <w:bCs w:val="0"/>
          <w:iCs/>
        </w:rPr>
        <w:t>ому</w:t>
      </w:r>
      <w:r w:rsidR="000D167D" w:rsidRPr="000D167D">
        <w:rPr>
          <w:bCs w:val="0"/>
          <w:iCs/>
        </w:rPr>
        <w:t xml:space="preserve"> вище лист</w:t>
      </w:r>
      <w:r w:rsidR="00FA4B60">
        <w:rPr>
          <w:bCs w:val="0"/>
          <w:iCs/>
        </w:rPr>
        <w:t>і</w:t>
      </w:r>
      <w:r w:rsidR="000D167D" w:rsidRPr="000D167D">
        <w:rPr>
          <w:bCs w:val="0"/>
          <w:iCs/>
        </w:rPr>
        <w:t xml:space="preserve"> ПАТ «Розрахунковий центр» повідомило про внесення змін до Положення про тарифну політику, які відображають положення Меморандуму та закріплюють фактичну взаємодію з Експертною радою ПАРД</w:t>
      </w:r>
      <w:r w:rsidR="008C3BF8">
        <w:rPr>
          <w:bCs w:val="0"/>
          <w:iCs/>
        </w:rPr>
        <w:t>,</w:t>
      </w:r>
      <w:r w:rsidR="000D167D" w:rsidRPr="000D167D">
        <w:rPr>
          <w:bCs w:val="0"/>
          <w:iCs/>
        </w:rPr>
        <w:t xml:space="preserve"> зокрема одним з етапів встановлення тарифів визначено</w:t>
      </w:r>
      <w:r w:rsidR="001E5246">
        <w:rPr>
          <w:bCs w:val="0"/>
          <w:iCs/>
        </w:rPr>
        <w:t xml:space="preserve"> </w:t>
      </w:r>
      <w:r w:rsidR="008C3BF8">
        <w:rPr>
          <w:bCs w:val="0"/>
          <w:iCs/>
        </w:rPr>
        <w:t>таке</w:t>
      </w:r>
      <w:r w:rsidR="00AA5731">
        <w:rPr>
          <w:bCs w:val="0"/>
          <w:iCs/>
        </w:rPr>
        <w:t>:</w:t>
      </w:r>
      <w:r w:rsidR="000D167D" w:rsidRPr="000D167D">
        <w:rPr>
          <w:bCs w:val="0"/>
          <w:iCs/>
        </w:rPr>
        <w:t xml:space="preserve"> узгодження тарифів з Експертною радою в порядку</w:t>
      </w:r>
      <w:r w:rsidR="008C3BF8">
        <w:rPr>
          <w:bCs w:val="0"/>
          <w:iCs/>
        </w:rPr>
        <w:t>,</w:t>
      </w:r>
      <w:r w:rsidR="000D167D" w:rsidRPr="000D167D">
        <w:rPr>
          <w:bCs w:val="0"/>
          <w:iCs/>
        </w:rPr>
        <w:t xml:space="preserve"> встановленому Меморандумом про співпрацю.</w:t>
      </w:r>
    </w:p>
    <w:p w:rsidR="001F60F4" w:rsidRPr="000D167D" w:rsidRDefault="00B10607" w:rsidP="00AE67BA">
      <w:pPr>
        <w:pStyle w:val="-11"/>
        <w:numPr>
          <w:ilvl w:val="0"/>
          <w:numId w:val="0"/>
        </w:numPr>
        <w:spacing w:before="0" w:after="0" w:line="240" w:lineRule="atLeast"/>
        <w:ind w:left="737" w:hanging="737"/>
        <w:rPr>
          <w:bCs w:val="0"/>
          <w:iCs/>
        </w:rPr>
      </w:pPr>
      <w:r>
        <w:rPr>
          <w:bCs w:val="0"/>
          <w:iCs/>
        </w:rPr>
        <w:t>(</w:t>
      </w:r>
      <w:r w:rsidR="00CB3BDD">
        <w:rPr>
          <w:bCs w:val="0"/>
          <w:iCs/>
        </w:rPr>
        <w:t>64</w:t>
      </w:r>
      <w:r>
        <w:rPr>
          <w:bCs w:val="0"/>
          <w:iCs/>
        </w:rPr>
        <w:t>)</w:t>
      </w:r>
      <w:r>
        <w:rPr>
          <w:bCs w:val="0"/>
          <w:iCs/>
        </w:rPr>
        <w:tab/>
      </w:r>
      <w:r w:rsidR="001F60F4">
        <w:rPr>
          <w:bCs w:val="0"/>
          <w:iCs/>
        </w:rPr>
        <w:t>Порівняння зміни принципів тарифної політики ПАТ «Розрахунковий центр»</w:t>
      </w:r>
      <w:r>
        <w:rPr>
          <w:bCs w:val="0"/>
          <w:iCs/>
        </w:rPr>
        <w:t>,</w:t>
      </w:r>
      <w:r w:rsidR="001F60F4">
        <w:rPr>
          <w:bCs w:val="0"/>
          <w:iCs/>
        </w:rPr>
        <w:t xml:space="preserve"> внаслідок виконання Рекомендацій,</w:t>
      </w:r>
      <w:r>
        <w:rPr>
          <w:bCs w:val="0"/>
          <w:iCs/>
        </w:rPr>
        <w:t xml:space="preserve"> </w:t>
      </w:r>
      <w:r w:rsidR="00CB3BDD">
        <w:rPr>
          <w:bCs w:val="0"/>
          <w:iCs/>
        </w:rPr>
        <w:t xml:space="preserve">наведено </w:t>
      </w:r>
      <w:r w:rsidR="00177899">
        <w:rPr>
          <w:bCs w:val="0"/>
          <w:iCs/>
        </w:rPr>
        <w:t xml:space="preserve">в </w:t>
      </w:r>
      <w:r w:rsidR="00CB3BDD">
        <w:rPr>
          <w:bCs w:val="0"/>
          <w:iCs/>
        </w:rPr>
        <w:t xml:space="preserve">таблиці, </w:t>
      </w:r>
      <w:r>
        <w:rPr>
          <w:bCs w:val="0"/>
          <w:iCs/>
        </w:rPr>
        <w:t xml:space="preserve">зокрема: </w:t>
      </w:r>
      <w:r>
        <w:rPr>
          <w:bCs w:val="0"/>
          <w:iCs/>
        </w:rPr>
        <w:tab/>
      </w:r>
    </w:p>
    <w:tbl>
      <w:tblPr>
        <w:tblStyle w:val="a9"/>
        <w:tblW w:w="0" w:type="auto"/>
        <w:tblInd w:w="709" w:type="dxa"/>
        <w:tblLook w:val="04A0" w:firstRow="1" w:lastRow="0" w:firstColumn="1" w:lastColumn="0" w:noHBand="0" w:noVBand="1"/>
      </w:tblPr>
      <w:tblGrid>
        <w:gridCol w:w="4577"/>
        <w:gridCol w:w="4568"/>
      </w:tblGrid>
      <w:tr w:rsidR="00B10607" w:rsidRPr="000D167D" w:rsidTr="00D6309C">
        <w:tc>
          <w:tcPr>
            <w:tcW w:w="4785" w:type="dxa"/>
          </w:tcPr>
          <w:p w:rsidR="00B10607" w:rsidRPr="000D167D" w:rsidRDefault="00B10607" w:rsidP="001F60F4">
            <w:pPr>
              <w:spacing w:line="240" w:lineRule="atLeast"/>
              <w:jc w:val="center"/>
              <w:rPr>
                <w:rFonts w:ascii="Times New Roman" w:hAnsi="Times New Roman"/>
                <w:b/>
              </w:rPr>
            </w:pPr>
            <w:r w:rsidRPr="000D167D">
              <w:rPr>
                <w:rFonts w:ascii="Times New Roman" w:hAnsi="Times New Roman"/>
                <w:b/>
              </w:rPr>
              <w:t xml:space="preserve">Редакція від </w:t>
            </w:r>
            <w:r w:rsidR="001F60F4">
              <w:rPr>
                <w:rFonts w:ascii="Times New Roman" w:hAnsi="Times New Roman"/>
                <w:b/>
              </w:rPr>
              <w:t>2</w:t>
            </w:r>
            <w:r w:rsidRPr="000D167D">
              <w:rPr>
                <w:rFonts w:ascii="Times New Roman" w:hAnsi="Times New Roman"/>
                <w:b/>
              </w:rPr>
              <w:t>2.0</w:t>
            </w:r>
            <w:r w:rsidR="001F60F4">
              <w:rPr>
                <w:rFonts w:ascii="Times New Roman" w:hAnsi="Times New Roman"/>
                <w:b/>
              </w:rPr>
              <w:t>7</w:t>
            </w:r>
            <w:r w:rsidRPr="000D167D">
              <w:rPr>
                <w:rFonts w:ascii="Times New Roman" w:hAnsi="Times New Roman"/>
                <w:b/>
              </w:rPr>
              <w:t>.201</w:t>
            </w:r>
            <w:r w:rsidR="001F60F4">
              <w:rPr>
                <w:rFonts w:ascii="Times New Roman" w:hAnsi="Times New Roman"/>
                <w:b/>
              </w:rPr>
              <w:t>7</w:t>
            </w:r>
          </w:p>
        </w:tc>
        <w:tc>
          <w:tcPr>
            <w:tcW w:w="4786" w:type="dxa"/>
          </w:tcPr>
          <w:p w:rsidR="00B10607" w:rsidRPr="000D167D" w:rsidRDefault="00B10607" w:rsidP="00B10607">
            <w:pPr>
              <w:spacing w:line="240" w:lineRule="atLeast"/>
              <w:jc w:val="center"/>
              <w:rPr>
                <w:rFonts w:ascii="Times New Roman" w:hAnsi="Times New Roman"/>
                <w:b/>
              </w:rPr>
            </w:pPr>
            <w:r w:rsidRPr="000D167D">
              <w:rPr>
                <w:rFonts w:ascii="Times New Roman" w:hAnsi="Times New Roman"/>
                <w:b/>
              </w:rPr>
              <w:t xml:space="preserve">Редакція від 22.07.2020 </w:t>
            </w:r>
          </w:p>
        </w:tc>
      </w:tr>
      <w:tr w:rsidR="00B10607" w:rsidRPr="000D167D" w:rsidTr="00D6309C">
        <w:tc>
          <w:tcPr>
            <w:tcW w:w="4785" w:type="dxa"/>
          </w:tcPr>
          <w:p w:rsidR="001F60F4" w:rsidRPr="001F60F4" w:rsidRDefault="001F60F4" w:rsidP="001F60F4">
            <w:pPr>
              <w:spacing w:line="240" w:lineRule="atLeast"/>
              <w:jc w:val="both"/>
              <w:rPr>
                <w:rFonts w:ascii="Times New Roman" w:hAnsi="Times New Roman"/>
              </w:rPr>
            </w:pPr>
            <w:r w:rsidRPr="001F60F4">
              <w:rPr>
                <w:rFonts w:ascii="Times New Roman" w:hAnsi="Times New Roman"/>
              </w:rPr>
              <w:t>2. Основні принципи Тарифної політики Банку</w:t>
            </w:r>
          </w:p>
          <w:p w:rsidR="001F60F4" w:rsidRPr="001F60F4" w:rsidRDefault="001F60F4" w:rsidP="001F60F4">
            <w:pPr>
              <w:spacing w:line="240" w:lineRule="atLeast"/>
              <w:jc w:val="both"/>
              <w:rPr>
                <w:rFonts w:ascii="Times New Roman" w:hAnsi="Times New Roman"/>
              </w:rPr>
            </w:pPr>
            <w:r w:rsidRPr="001F60F4">
              <w:rPr>
                <w:rFonts w:ascii="Times New Roman" w:hAnsi="Times New Roman"/>
              </w:rPr>
              <w:t>2.2. Етапи встановлення тарифів:</w:t>
            </w:r>
          </w:p>
          <w:p w:rsidR="001F60F4" w:rsidRPr="001F60F4" w:rsidRDefault="001F60F4" w:rsidP="001F60F4">
            <w:pPr>
              <w:spacing w:line="240" w:lineRule="atLeast"/>
              <w:jc w:val="both"/>
              <w:rPr>
                <w:rFonts w:ascii="Times New Roman" w:hAnsi="Times New Roman"/>
              </w:rPr>
            </w:pPr>
            <w:r w:rsidRPr="001F60F4">
              <w:rPr>
                <w:rFonts w:ascii="Times New Roman" w:hAnsi="Times New Roman"/>
              </w:rPr>
              <w:t>2) Подання Тарифним комітетом клопотання Правлінню щодо затвердження та введення в дію нової</w:t>
            </w:r>
            <w:r w:rsidR="00EC5678">
              <w:rPr>
                <w:rFonts w:ascii="Times New Roman" w:hAnsi="Times New Roman"/>
              </w:rPr>
              <w:t> </w:t>
            </w:r>
            <w:r w:rsidRPr="001F60F4">
              <w:rPr>
                <w:rFonts w:ascii="Times New Roman" w:hAnsi="Times New Roman"/>
              </w:rPr>
              <w:t>/</w:t>
            </w:r>
            <w:r w:rsidR="00EC5678">
              <w:rPr>
                <w:rFonts w:ascii="Times New Roman" w:hAnsi="Times New Roman"/>
              </w:rPr>
              <w:t> </w:t>
            </w:r>
            <w:r w:rsidRPr="001F60F4">
              <w:rPr>
                <w:rFonts w:ascii="Times New Roman" w:hAnsi="Times New Roman"/>
              </w:rPr>
              <w:t>актуалізованої послуги та тарифу на цю послугу та/або затвердження тарифу, який був змінений.</w:t>
            </w:r>
          </w:p>
          <w:p w:rsidR="00B10607" w:rsidRPr="000D167D" w:rsidRDefault="001F60F4" w:rsidP="001F60F4">
            <w:pPr>
              <w:spacing w:line="240" w:lineRule="atLeast"/>
              <w:jc w:val="both"/>
              <w:rPr>
                <w:rFonts w:ascii="Times New Roman" w:hAnsi="Times New Roman"/>
              </w:rPr>
            </w:pPr>
            <w:r w:rsidRPr="001F60F4">
              <w:rPr>
                <w:rFonts w:ascii="Times New Roman" w:hAnsi="Times New Roman"/>
              </w:rPr>
              <w:t>3) Прийняття рішення Правлінням Банку щодо затвердження окремого розділу Тарифів Банку або Тарифів Банку в цілому у новій редакції. За необхідності Правління може прийняти рішення щодо доповнення Тарифів Банку новим розділом. При прийнятті рішення щодо доповнення Тарифів Банку новим розділом або скасування окремого розділу Тарифів Банку вносяться відповідні зміни до цієї Тарифної політики.</w:t>
            </w:r>
          </w:p>
        </w:tc>
        <w:tc>
          <w:tcPr>
            <w:tcW w:w="4786" w:type="dxa"/>
          </w:tcPr>
          <w:p w:rsidR="00B10607" w:rsidRPr="000D167D" w:rsidRDefault="00B10607" w:rsidP="00D6309C">
            <w:pPr>
              <w:spacing w:line="240" w:lineRule="atLeast"/>
              <w:jc w:val="both"/>
              <w:rPr>
                <w:rFonts w:ascii="Times New Roman" w:hAnsi="Times New Roman"/>
              </w:rPr>
            </w:pPr>
            <w:r w:rsidRPr="000D167D">
              <w:rPr>
                <w:rFonts w:ascii="Times New Roman" w:hAnsi="Times New Roman"/>
              </w:rPr>
              <w:t>2. Основні принципи Тарифної політики Банку</w:t>
            </w:r>
          </w:p>
          <w:p w:rsidR="00B10607" w:rsidRPr="000D167D" w:rsidRDefault="00B10607" w:rsidP="00D6309C">
            <w:pPr>
              <w:spacing w:line="240" w:lineRule="atLeast"/>
              <w:jc w:val="both"/>
              <w:rPr>
                <w:rFonts w:ascii="Times New Roman" w:hAnsi="Times New Roman"/>
              </w:rPr>
            </w:pPr>
            <w:r w:rsidRPr="000D167D">
              <w:rPr>
                <w:rFonts w:ascii="Times New Roman" w:hAnsi="Times New Roman"/>
              </w:rPr>
              <w:t>2.2. Етапи встановлення тарифів:</w:t>
            </w:r>
          </w:p>
          <w:p w:rsidR="00B10607" w:rsidRPr="000D167D" w:rsidRDefault="00B10607" w:rsidP="00D6309C">
            <w:pPr>
              <w:spacing w:line="240" w:lineRule="atLeast"/>
              <w:jc w:val="both"/>
              <w:rPr>
                <w:rFonts w:ascii="Times New Roman" w:hAnsi="Times New Roman"/>
              </w:rPr>
            </w:pPr>
            <w:r w:rsidRPr="000D167D">
              <w:rPr>
                <w:rFonts w:ascii="Times New Roman" w:hAnsi="Times New Roman"/>
              </w:rPr>
              <w:t>2) Узгодження тарифів з Експертною радою в порядку, встановленому Меморандумом про співпрацю, у випадку зміни Тарифів Банку передбачають зміну тарифу на послугу Банку та/або запровадження нового тарифу за послугами, що не надаються іншими суб’єктами господарювання на ринку відповідних послуг.</w:t>
            </w:r>
          </w:p>
          <w:p w:rsidR="00B10607" w:rsidRPr="000D167D" w:rsidRDefault="00B10607" w:rsidP="00D6309C">
            <w:pPr>
              <w:spacing w:line="240" w:lineRule="atLeast"/>
              <w:jc w:val="both"/>
              <w:rPr>
                <w:rFonts w:ascii="Times New Roman" w:hAnsi="Times New Roman"/>
              </w:rPr>
            </w:pPr>
            <w:r w:rsidRPr="000D167D">
              <w:rPr>
                <w:rFonts w:ascii="Times New Roman" w:hAnsi="Times New Roman"/>
              </w:rPr>
              <w:t>3) Подання Тарифним комітетом клопотання Правлінню щодо затвердження та введення в дію нової/актуалізованої послуги та тарифу на цю послугу та/або затвердження тарифу, який був змінений. У випадку, якщо Тарифи Банку узгоджувалися з Експертною радою, Тарифний комітет подає Правлінню результати такого узгодження з відповідними коментарями та поясненнями.</w:t>
            </w:r>
          </w:p>
        </w:tc>
      </w:tr>
    </w:tbl>
    <w:p w:rsidR="000D167D" w:rsidRPr="000D167D" w:rsidRDefault="00D8497D" w:rsidP="000D167D">
      <w:pPr>
        <w:pStyle w:val="-11"/>
        <w:numPr>
          <w:ilvl w:val="0"/>
          <w:numId w:val="0"/>
        </w:numPr>
        <w:spacing w:before="0" w:after="0" w:line="240" w:lineRule="atLeast"/>
        <w:ind w:left="737" w:hanging="737"/>
        <w:rPr>
          <w:bCs w:val="0"/>
          <w:iCs/>
        </w:rPr>
      </w:pPr>
      <w:r>
        <w:rPr>
          <w:bCs w:val="0"/>
          <w:iCs/>
        </w:rPr>
        <w:lastRenderedPageBreak/>
        <w:t>(65</w:t>
      </w:r>
      <w:r w:rsidR="000D167D" w:rsidRPr="000D167D">
        <w:rPr>
          <w:bCs w:val="0"/>
          <w:iCs/>
        </w:rPr>
        <w:t>)</w:t>
      </w:r>
      <w:r w:rsidR="000D167D" w:rsidRPr="000D167D">
        <w:rPr>
          <w:bCs w:val="0"/>
          <w:iCs/>
        </w:rPr>
        <w:tab/>
        <w:t xml:space="preserve">Крім того, </w:t>
      </w:r>
      <w:r w:rsidR="00EC5678">
        <w:rPr>
          <w:bCs w:val="0"/>
          <w:iCs/>
        </w:rPr>
        <w:t>у</w:t>
      </w:r>
      <w:r w:rsidR="000D167D" w:rsidRPr="000D167D">
        <w:rPr>
          <w:bCs w:val="0"/>
          <w:iCs/>
        </w:rPr>
        <w:t xml:space="preserve"> новій редакції Положення про тарифну політику </w:t>
      </w:r>
      <w:r w:rsidR="001F60F4">
        <w:rPr>
          <w:bCs w:val="0"/>
          <w:iCs/>
        </w:rPr>
        <w:t xml:space="preserve">(протокол засідання Правління </w:t>
      </w:r>
      <w:r w:rsidR="001F60F4" w:rsidRPr="000D167D">
        <w:rPr>
          <w:bCs w:val="0"/>
          <w:iCs/>
        </w:rPr>
        <w:t>ПАТ «Розрахунковий центр»</w:t>
      </w:r>
      <w:r w:rsidR="001F60F4">
        <w:rPr>
          <w:bCs w:val="0"/>
          <w:iCs/>
        </w:rPr>
        <w:t xml:space="preserve"> від 22.07.2020 № 42) </w:t>
      </w:r>
      <w:r w:rsidR="000D167D" w:rsidRPr="000D167D">
        <w:rPr>
          <w:bCs w:val="0"/>
          <w:iCs/>
        </w:rPr>
        <w:t xml:space="preserve">передбачено </w:t>
      </w:r>
      <w:r w:rsidR="00EC5678">
        <w:rPr>
          <w:bCs w:val="0"/>
          <w:iCs/>
        </w:rPr>
        <w:t>таке</w:t>
      </w:r>
      <w:r w:rsidR="000D167D" w:rsidRPr="000D167D">
        <w:rPr>
          <w:bCs w:val="0"/>
          <w:iCs/>
        </w:rPr>
        <w:t>:</w:t>
      </w:r>
    </w:p>
    <w:p w:rsidR="000D167D" w:rsidRPr="000D167D" w:rsidRDefault="000D167D" w:rsidP="000D167D">
      <w:pPr>
        <w:pStyle w:val="-11"/>
        <w:numPr>
          <w:ilvl w:val="0"/>
          <w:numId w:val="11"/>
        </w:numPr>
        <w:spacing w:before="0" w:after="0" w:line="240" w:lineRule="atLeast"/>
        <w:rPr>
          <w:bCs w:val="0"/>
          <w:iCs/>
        </w:rPr>
      </w:pPr>
      <w:r w:rsidRPr="000D167D">
        <w:rPr>
          <w:bCs w:val="0"/>
          <w:iCs/>
        </w:rPr>
        <w:t xml:space="preserve">збільшення тарифів за кліринговими послугами може відбуватись виключно у випадку, якщо затверджений правлінням </w:t>
      </w:r>
      <w:proofErr w:type="spellStart"/>
      <w:r w:rsidRPr="000D167D">
        <w:rPr>
          <w:bCs w:val="0"/>
          <w:iCs/>
        </w:rPr>
        <w:t>проєкт</w:t>
      </w:r>
      <w:proofErr w:type="spellEnd"/>
      <w:r w:rsidRPr="000D167D">
        <w:rPr>
          <w:bCs w:val="0"/>
          <w:iCs/>
        </w:rPr>
        <w:t xml:space="preserve"> бюджету на відповідний рік передбачає наявність операційного збитку; </w:t>
      </w:r>
    </w:p>
    <w:p w:rsidR="000D167D" w:rsidRPr="000D167D" w:rsidRDefault="000D167D" w:rsidP="000D167D">
      <w:pPr>
        <w:pStyle w:val="-11"/>
        <w:numPr>
          <w:ilvl w:val="0"/>
          <w:numId w:val="11"/>
        </w:numPr>
        <w:spacing w:before="0" w:after="0" w:line="240" w:lineRule="atLeast"/>
        <w:rPr>
          <w:bCs w:val="0"/>
          <w:iCs/>
        </w:rPr>
      </w:pPr>
      <w:r w:rsidRPr="000D167D">
        <w:rPr>
          <w:bCs w:val="0"/>
          <w:iCs/>
        </w:rPr>
        <w:t xml:space="preserve">вартість послуги (тариф) за послугами, що не надаються іншими </w:t>
      </w:r>
      <w:proofErr w:type="spellStart"/>
      <w:r w:rsidRPr="000D167D">
        <w:rPr>
          <w:bCs w:val="0"/>
          <w:iCs/>
        </w:rPr>
        <w:t>субʼєктами</w:t>
      </w:r>
      <w:proofErr w:type="spellEnd"/>
      <w:r w:rsidRPr="000D167D">
        <w:rPr>
          <w:bCs w:val="0"/>
          <w:iCs/>
        </w:rPr>
        <w:t xml:space="preserve"> господарювання на ринку відповідних послуг, складається </w:t>
      </w:r>
      <w:r w:rsidR="00EC5678">
        <w:rPr>
          <w:bCs w:val="0"/>
          <w:iCs/>
        </w:rPr>
        <w:t>і</w:t>
      </w:r>
      <w:r w:rsidRPr="000D167D">
        <w:rPr>
          <w:bCs w:val="0"/>
          <w:iCs/>
        </w:rPr>
        <w:t>з собівартості послуги та рентабельності;</w:t>
      </w:r>
    </w:p>
    <w:p w:rsidR="000D167D" w:rsidRPr="000D167D" w:rsidRDefault="000D167D" w:rsidP="000D167D">
      <w:pPr>
        <w:pStyle w:val="-11"/>
        <w:numPr>
          <w:ilvl w:val="0"/>
          <w:numId w:val="11"/>
        </w:numPr>
        <w:spacing w:before="0" w:after="0" w:line="240" w:lineRule="atLeast"/>
        <w:rPr>
          <w:bCs w:val="0"/>
          <w:iCs/>
        </w:rPr>
      </w:pPr>
      <w:r w:rsidRPr="000D167D">
        <w:rPr>
          <w:bCs w:val="0"/>
          <w:iCs/>
        </w:rPr>
        <w:t>рентабельність для послуг, за якими ПАТ «Розрахунковий центр» займає монопольне становище на відповідному ринку, – не більше 7%;</w:t>
      </w:r>
    </w:p>
    <w:p w:rsidR="000D167D" w:rsidRPr="000D167D" w:rsidRDefault="000D167D" w:rsidP="000D167D">
      <w:pPr>
        <w:pStyle w:val="-11"/>
        <w:numPr>
          <w:ilvl w:val="0"/>
          <w:numId w:val="11"/>
        </w:numPr>
        <w:spacing w:before="0" w:after="0" w:line="240" w:lineRule="atLeast"/>
        <w:rPr>
          <w:bCs w:val="0"/>
          <w:iCs/>
        </w:rPr>
      </w:pPr>
      <w:r w:rsidRPr="000D167D">
        <w:rPr>
          <w:bCs w:val="0"/>
          <w:iCs/>
        </w:rPr>
        <w:t>собівартість послуги складається з прямих та накладних (непрямих) витрат;</w:t>
      </w:r>
    </w:p>
    <w:p w:rsidR="000D167D" w:rsidRPr="000D167D" w:rsidRDefault="000D167D" w:rsidP="000D167D">
      <w:pPr>
        <w:pStyle w:val="-11"/>
        <w:numPr>
          <w:ilvl w:val="0"/>
          <w:numId w:val="11"/>
        </w:numPr>
        <w:spacing w:before="0" w:after="0" w:line="240" w:lineRule="atLeast"/>
        <w:rPr>
          <w:bCs w:val="0"/>
          <w:iCs/>
        </w:rPr>
      </w:pPr>
      <w:r w:rsidRPr="000D167D">
        <w:rPr>
          <w:bCs w:val="0"/>
          <w:iCs/>
        </w:rPr>
        <w:t xml:space="preserve">до прямих витрат при наданні клірингових послуг </w:t>
      </w:r>
      <w:r w:rsidR="00EC5678">
        <w:rPr>
          <w:bCs w:val="0"/>
          <w:iCs/>
        </w:rPr>
        <w:t>належать</w:t>
      </w:r>
      <w:r w:rsidR="00EC5678" w:rsidRPr="000D167D">
        <w:rPr>
          <w:bCs w:val="0"/>
          <w:iCs/>
        </w:rPr>
        <w:t xml:space="preserve"> </w:t>
      </w:r>
      <w:r w:rsidRPr="000D167D">
        <w:rPr>
          <w:bCs w:val="0"/>
          <w:iCs/>
        </w:rPr>
        <w:t xml:space="preserve">витрати на утримання персоналу, безпосередньо задіяного </w:t>
      </w:r>
      <w:r w:rsidR="00EC5678">
        <w:rPr>
          <w:bCs w:val="0"/>
          <w:iCs/>
        </w:rPr>
        <w:t>під час</w:t>
      </w:r>
      <w:r w:rsidR="00EC5678" w:rsidRPr="000D167D">
        <w:rPr>
          <w:bCs w:val="0"/>
          <w:iCs/>
        </w:rPr>
        <w:t xml:space="preserve"> </w:t>
      </w:r>
      <w:r w:rsidRPr="000D167D">
        <w:rPr>
          <w:bCs w:val="0"/>
          <w:iCs/>
        </w:rPr>
        <w:t>здійсненн</w:t>
      </w:r>
      <w:r w:rsidR="00EC5678">
        <w:rPr>
          <w:bCs w:val="0"/>
          <w:iCs/>
        </w:rPr>
        <w:t>я</w:t>
      </w:r>
      <w:r w:rsidRPr="000D167D">
        <w:rPr>
          <w:bCs w:val="0"/>
          <w:iCs/>
        </w:rPr>
        <w:t xml:space="preserve"> клірингової діяльності;</w:t>
      </w:r>
    </w:p>
    <w:p w:rsidR="000D167D" w:rsidRPr="000D167D" w:rsidRDefault="000D167D" w:rsidP="000D167D">
      <w:pPr>
        <w:pStyle w:val="-11"/>
        <w:numPr>
          <w:ilvl w:val="0"/>
          <w:numId w:val="11"/>
        </w:numPr>
        <w:spacing w:before="0" w:after="0" w:line="240" w:lineRule="atLeast"/>
        <w:rPr>
          <w:bCs w:val="0"/>
          <w:iCs/>
        </w:rPr>
      </w:pPr>
      <w:r w:rsidRPr="000D167D">
        <w:rPr>
          <w:bCs w:val="0"/>
          <w:iCs/>
        </w:rPr>
        <w:t>вичерпний перелік накладних (непрямих) витрат.</w:t>
      </w:r>
    </w:p>
    <w:p w:rsidR="000D167D" w:rsidRPr="000D167D" w:rsidRDefault="00D8497D" w:rsidP="000D167D">
      <w:pPr>
        <w:pStyle w:val="-11"/>
        <w:numPr>
          <w:ilvl w:val="0"/>
          <w:numId w:val="0"/>
        </w:numPr>
        <w:spacing w:before="0" w:after="0" w:line="240" w:lineRule="atLeast"/>
        <w:ind w:left="709" w:hanging="709"/>
        <w:rPr>
          <w:bCs w:val="0"/>
          <w:iCs/>
        </w:rPr>
      </w:pPr>
      <w:r>
        <w:rPr>
          <w:bCs w:val="0"/>
          <w:iCs/>
        </w:rPr>
        <w:t>(66</w:t>
      </w:r>
      <w:r w:rsidR="000D167D" w:rsidRPr="000D167D">
        <w:rPr>
          <w:bCs w:val="0"/>
          <w:iCs/>
        </w:rPr>
        <w:t>)</w:t>
      </w:r>
      <w:r w:rsidR="000D167D" w:rsidRPr="000D167D">
        <w:rPr>
          <w:bCs w:val="0"/>
          <w:iCs/>
        </w:rPr>
        <w:tab/>
        <w:t xml:space="preserve">Також у Меморандумі закріплено чіткий порядок дій щодо погодження змін тарифів на </w:t>
      </w:r>
      <w:r w:rsidR="00646D94">
        <w:rPr>
          <w:bCs w:val="0"/>
          <w:iCs/>
        </w:rPr>
        <w:t>наявні</w:t>
      </w:r>
      <w:r w:rsidR="00646D94" w:rsidRPr="000D167D">
        <w:rPr>
          <w:bCs w:val="0"/>
          <w:iCs/>
        </w:rPr>
        <w:t xml:space="preserve"> </w:t>
      </w:r>
      <w:r w:rsidR="000D167D" w:rsidRPr="000D167D">
        <w:rPr>
          <w:bCs w:val="0"/>
          <w:iCs/>
        </w:rPr>
        <w:t xml:space="preserve">послуги та/або запровадження нових, зокрема: </w:t>
      </w:r>
    </w:p>
    <w:p w:rsidR="000D167D" w:rsidRPr="000D167D" w:rsidRDefault="000D167D" w:rsidP="000D167D">
      <w:pPr>
        <w:pStyle w:val="-11"/>
        <w:numPr>
          <w:ilvl w:val="0"/>
          <w:numId w:val="12"/>
        </w:numPr>
        <w:spacing w:before="0" w:after="0" w:line="240" w:lineRule="atLeast"/>
        <w:ind w:left="1134" w:firstLine="0"/>
        <w:rPr>
          <w:bCs w:val="0"/>
          <w:iCs/>
        </w:rPr>
      </w:pPr>
      <w:r w:rsidRPr="000D167D">
        <w:rPr>
          <w:bCs w:val="0"/>
          <w:iCs/>
        </w:rPr>
        <w:t>направлення ПАТ «Розрахунковий центр» інформації щодо запланованих змін до Експертної ради ПАРД не пізніше ніж за два тижні до запланованої дати їх впровадження;</w:t>
      </w:r>
    </w:p>
    <w:p w:rsidR="000D167D" w:rsidRPr="000D167D" w:rsidRDefault="000D167D" w:rsidP="000D167D">
      <w:pPr>
        <w:pStyle w:val="-11"/>
        <w:numPr>
          <w:ilvl w:val="0"/>
          <w:numId w:val="12"/>
        </w:numPr>
        <w:spacing w:before="0" w:after="0" w:line="240" w:lineRule="atLeast"/>
        <w:ind w:left="1134" w:firstLine="0"/>
        <w:rPr>
          <w:bCs w:val="0"/>
          <w:iCs/>
        </w:rPr>
      </w:pPr>
      <w:r w:rsidRPr="000D167D">
        <w:rPr>
          <w:bCs w:val="0"/>
          <w:iCs/>
        </w:rPr>
        <w:t>інформація повинна містити опис бізнес-логіки та економічне обґрунтування запланованих змін;</w:t>
      </w:r>
    </w:p>
    <w:p w:rsidR="000D167D" w:rsidRPr="000D167D" w:rsidRDefault="000D167D" w:rsidP="000D167D">
      <w:pPr>
        <w:pStyle w:val="-11"/>
        <w:numPr>
          <w:ilvl w:val="0"/>
          <w:numId w:val="12"/>
        </w:numPr>
        <w:spacing w:before="0" w:after="0" w:line="240" w:lineRule="atLeast"/>
        <w:ind w:left="1134" w:firstLine="0"/>
        <w:rPr>
          <w:bCs w:val="0"/>
          <w:iCs/>
        </w:rPr>
      </w:pPr>
      <w:r w:rsidRPr="000D167D">
        <w:rPr>
          <w:bCs w:val="0"/>
          <w:iCs/>
        </w:rPr>
        <w:t>на засідання Експертної ради ПАРД для обґоворення змін запрошуються представники ПАТ «Розрахунковий центр»;</w:t>
      </w:r>
    </w:p>
    <w:p w:rsidR="000D167D" w:rsidRPr="000D167D" w:rsidRDefault="000D167D" w:rsidP="000D167D">
      <w:pPr>
        <w:pStyle w:val="-11"/>
        <w:numPr>
          <w:ilvl w:val="0"/>
          <w:numId w:val="12"/>
        </w:numPr>
        <w:spacing w:before="0" w:after="0" w:line="240" w:lineRule="atLeast"/>
        <w:ind w:left="1134" w:firstLine="66"/>
        <w:rPr>
          <w:bCs w:val="0"/>
          <w:iCs/>
        </w:rPr>
      </w:pPr>
      <w:r w:rsidRPr="000D167D">
        <w:rPr>
          <w:bCs w:val="0"/>
          <w:iCs/>
        </w:rPr>
        <w:t>ПАТ «Розрахунковий центр» зобов’язується ґрунтовно розглянути всі побажання, зауваження та пропозиції Експертної ради ПАРД, на кожне з них надати повну та обґрунтовану відповідь, прагнучи максимально повного задоволення потреб членів Експертної ради ПАРД;</w:t>
      </w:r>
    </w:p>
    <w:p w:rsidR="000D167D" w:rsidRPr="000D167D" w:rsidRDefault="000D167D" w:rsidP="000D167D">
      <w:pPr>
        <w:pStyle w:val="-11"/>
        <w:numPr>
          <w:ilvl w:val="0"/>
          <w:numId w:val="12"/>
        </w:numPr>
        <w:spacing w:before="0" w:after="0" w:line="240" w:lineRule="atLeast"/>
        <w:ind w:left="1134" w:firstLine="66"/>
        <w:rPr>
          <w:bCs w:val="0"/>
          <w:iCs/>
        </w:rPr>
      </w:pPr>
      <w:r w:rsidRPr="000D167D">
        <w:rPr>
          <w:bCs w:val="0"/>
          <w:iCs/>
        </w:rPr>
        <w:t xml:space="preserve">рішення щодо запровадження змін ПАТ «Розрахунковий центр» приймає виключно після розгляду письмового повідомлення Експертної ради ПАРД.  </w:t>
      </w:r>
    </w:p>
    <w:p w:rsidR="00B02B9D" w:rsidRDefault="00D8497D" w:rsidP="000D167D">
      <w:pPr>
        <w:pStyle w:val="-11"/>
        <w:numPr>
          <w:ilvl w:val="0"/>
          <w:numId w:val="0"/>
        </w:numPr>
        <w:spacing w:before="0" w:after="0" w:line="240" w:lineRule="atLeast"/>
        <w:ind w:left="709" w:hanging="709"/>
        <w:rPr>
          <w:bCs w:val="0"/>
          <w:iCs/>
        </w:rPr>
      </w:pPr>
      <w:r>
        <w:rPr>
          <w:bCs w:val="0"/>
          <w:iCs/>
        </w:rPr>
        <w:t>(67</w:t>
      </w:r>
      <w:r w:rsidR="000D167D" w:rsidRPr="000D167D">
        <w:rPr>
          <w:bCs w:val="0"/>
          <w:iCs/>
        </w:rPr>
        <w:t>)</w:t>
      </w:r>
      <w:r w:rsidR="000D167D" w:rsidRPr="000D167D">
        <w:rPr>
          <w:bCs w:val="0"/>
          <w:iCs/>
        </w:rPr>
        <w:tab/>
      </w:r>
      <w:r w:rsidR="0082552E">
        <w:rPr>
          <w:bCs w:val="0"/>
          <w:iCs/>
        </w:rPr>
        <w:t>Отже</w:t>
      </w:r>
      <w:r w:rsidR="000D167D" w:rsidRPr="000D167D">
        <w:rPr>
          <w:bCs w:val="0"/>
          <w:iCs/>
        </w:rPr>
        <w:t>, можна зазначити, що ПАТ «Розрахунковий центр» вжило заходів для впорядкування процесу формування тарифів на клірингові послуги та залучення до цього представників професійних учасників фондового ринку.</w:t>
      </w:r>
    </w:p>
    <w:p w:rsidR="000D167D" w:rsidRPr="000D167D" w:rsidRDefault="00B02B9D" w:rsidP="000D167D">
      <w:pPr>
        <w:pStyle w:val="-11"/>
        <w:numPr>
          <w:ilvl w:val="0"/>
          <w:numId w:val="0"/>
        </w:numPr>
        <w:spacing w:before="0" w:after="0" w:line="240" w:lineRule="atLeast"/>
        <w:ind w:left="709" w:hanging="709"/>
        <w:rPr>
          <w:bCs w:val="0"/>
          <w:iCs/>
        </w:rPr>
      </w:pPr>
      <w:r>
        <w:rPr>
          <w:bCs w:val="0"/>
          <w:iCs/>
        </w:rPr>
        <w:t>(68)</w:t>
      </w:r>
      <w:r>
        <w:rPr>
          <w:bCs w:val="0"/>
          <w:iCs/>
        </w:rPr>
        <w:tab/>
      </w:r>
      <w:r w:rsidR="003D4E66">
        <w:rPr>
          <w:bCs w:val="0"/>
          <w:iCs/>
        </w:rPr>
        <w:t>В</w:t>
      </w:r>
      <w:r>
        <w:rPr>
          <w:bCs w:val="0"/>
          <w:iCs/>
        </w:rPr>
        <w:t xml:space="preserve">раховуючи викладене, </w:t>
      </w:r>
      <w:r w:rsidR="0082552E">
        <w:rPr>
          <w:bCs w:val="0"/>
          <w:iCs/>
        </w:rPr>
        <w:t>р</w:t>
      </w:r>
      <w:r w:rsidRPr="00B02B9D">
        <w:rPr>
          <w:bCs w:val="0"/>
          <w:iCs/>
        </w:rPr>
        <w:t>екомендаці</w:t>
      </w:r>
      <w:r>
        <w:rPr>
          <w:bCs w:val="0"/>
          <w:iCs/>
        </w:rPr>
        <w:t>ї</w:t>
      </w:r>
      <w:r w:rsidRPr="00B02B9D">
        <w:rPr>
          <w:bCs w:val="0"/>
          <w:iCs/>
        </w:rPr>
        <w:t xml:space="preserve"> Комітету від 25.07.2019 № 52-рк</w:t>
      </w:r>
      <w:r w:rsidR="003D4E66">
        <w:rPr>
          <w:bCs w:val="0"/>
          <w:iCs/>
        </w:rPr>
        <w:t xml:space="preserve"> </w:t>
      </w:r>
      <w:r>
        <w:rPr>
          <w:bCs w:val="0"/>
          <w:iCs/>
        </w:rPr>
        <w:t>виконан</w:t>
      </w:r>
      <w:r w:rsidR="00C37828">
        <w:rPr>
          <w:bCs w:val="0"/>
          <w:iCs/>
        </w:rPr>
        <w:t>і</w:t>
      </w:r>
      <w:r>
        <w:rPr>
          <w:bCs w:val="0"/>
          <w:iCs/>
        </w:rPr>
        <w:t>.</w:t>
      </w:r>
      <w:r w:rsidR="000D167D" w:rsidRPr="000D167D">
        <w:rPr>
          <w:bCs w:val="0"/>
          <w:iCs/>
        </w:rPr>
        <w:t xml:space="preserve"> </w:t>
      </w:r>
    </w:p>
    <w:p w:rsidR="000D167D" w:rsidRPr="000D167D" w:rsidRDefault="000D167D" w:rsidP="000D167D">
      <w:pPr>
        <w:pStyle w:val="-11"/>
        <w:numPr>
          <w:ilvl w:val="0"/>
          <w:numId w:val="0"/>
        </w:numPr>
        <w:spacing w:before="0" w:after="60" w:line="240" w:lineRule="atLeast"/>
        <w:rPr>
          <w:bCs w:val="0"/>
          <w:iCs/>
        </w:rPr>
      </w:pPr>
    </w:p>
    <w:p w:rsidR="000D167D" w:rsidRDefault="000D167D" w:rsidP="009A5055">
      <w:pPr>
        <w:pStyle w:val="-11"/>
        <w:numPr>
          <w:ilvl w:val="0"/>
          <w:numId w:val="0"/>
        </w:numPr>
        <w:spacing w:before="0" w:after="0" w:line="240" w:lineRule="atLeast"/>
        <w:ind w:left="709" w:hanging="709"/>
        <w:rPr>
          <w:b/>
        </w:rPr>
      </w:pPr>
      <w:r w:rsidRPr="000D167D">
        <w:rPr>
          <w:b/>
          <w:bCs w:val="0"/>
          <w:iCs/>
        </w:rPr>
        <w:t>8.</w:t>
      </w:r>
      <w:r w:rsidRPr="000D167D">
        <w:rPr>
          <w:b/>
          <w:bCs w:val="0"/>
          <w:iCs/>
        </w:rPr>
        <w:tab/>
      </w:r>
      <w:r w:rsidRPr="000D167D">
        <w:rPr>
          <w:b/>
        </w:rPr>
        <w:t>ПОЗИЦІЯ СТОРІН СПРАВИ ЩОДО ПОПЕРЕДНІХ ВИСНОВКІВ У СПРАВІ</w:t>
      </w:r>
    </w:p>
    <w:p w:rsidR="009A5055" w:rsidRPr="000D167D" w:rsidRDefault="009A5055" w:rsidP="009A5055">
      <w:pPr>
        <w:pStyle w:val="-11"/>
        <w:numPr>
          <w:ilvl w:val="0"/>
          <w:numId w:val="0"/>
        </w:numPr>
        <w:spacing w:before="0" w:after="0" w:line="240" w:lineRule="atLeast"/>
        <w:ind w:left="709" w:hanging="709"/>
        <w:rPr>
          <w:b/>
        </w:rPr>
      </w:pPr>
    </w:p>
    <w:p w:rsidR="000D167D" w:rsidRPr="000D167D" w:rsidRDefault="000D167D" w:rsidP="000D167D">
      <w:pPr>
        <w:ind w:left="709" w:hanging="710"/>
        <w:jc w:val="both"/>
        <w:rPr>
          <w:rFonts w:ascii="Times New Roman" w:hAnsi="Times New Roman"/>
        </w:rPr>
      </w:pPr>
      <w:r w:rsidRPr="000D167D">
        <w:rPr>
          <w:rFonts w:ascii="Times New Roman" w:hAnsi="Times New Roman"/>
        </w:rPr>
        <w:t>(</w:t>
      </w:r>
      <w:r w:rsidR="009A5055">
        <w:rPr>
          <w:rFonts w:ascii="Times New Roman" w:hAnsi="Times New Roman"/>
        </w:rPr>
        <w:t>69</w:t>
      </w:r>
      <w:r w:rsidRPr="000D167D">
        <w:rPr>
          <w:rFonts w:ascii="Times New Roman" w:hAnsi="Times New Roman"/>
        </w:rPr>
        <w:t>)</w:t>
      </w:r>
      <w:r w:rsidRPr="000D167D">
        <w:rPr>
          <w:rFonts w:ascii="Times New Roman" w:hAnsi="Times New Roman"/>
        </w:rPr>
        <w:tab/>
        <w:t xml:space="preserve">Відповідно до пункту 26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w:t>
      </w:r>
      <w:r w:rsidR="003F4EBE">
        <w:rPr>
          <w:rFonts w:ascii="Times New Roman" w:hAnsi="Times New Roman"/>
        </w:rPr>
        <w:t xml:space="preserve">    </w:t>
      </w:r>
      <w:r w:rsidRPr="000D167D">
        <w:rPr>
          <w:rFonts w:ascii="Times New Roman" w:hAnsi="Times New Roman"/>
        </w:rPr>
        <w:t>№</w:t>
      </w:r>
      <w:r w:rsidR="003F4EBE">
        <w:rPr>
          <w:rFonts w:ascii="Times New Roman" w:hAnsi="Times New Roman"/>
        </w:rPr>
        <w:t> </w:t>
      </w:r>
      <w:r w:rsidRPr="000D167D">
        <w:rPr>
          <w:rFonts w:ascii="Times New Roman" w:hAnsi="Times New Roman"/>
        </w:rPr>
        <w:t>169-р) (із змінами)</w:t>
      </w:r>
      <w:r w:rsidR="003F4EBE">
        <w:rPr>
          <w:rFonts w:ascii="Times New Roman" w:hAnsi="Times New Roman"/>
        </w:rPr>
        <w:t>,</w:t>
      </w:r>
      <w:r w:rsidRPr="000D167D">
        <w:rPr>
          <w:rFonts w:ascii="Times New Roman" w:hAnsi="Times New Roman"/>
        </w:rPr>
        <w:t xml:space="preserve"> копії подання з попередніми висновками у справі направлені сторонам справи:</w:t>
      </w:r>
    </w:p>
    <w:p w:rsidR="000D167D" w:rsidRPr="000D167D" w:rsidRDefault="000D167D" w:rsidP="000D167D">
      <w:pPr>
        <w:pStyle w:val="aa"/>
        <w:numPr>
          <w:ilvl w:val="0"/>
          <w:numId w:val="9"/>
        </w:numPr>
        <w:ind w:left="709" w:firstLine="328"/>
        <w:jc w:val="both"/>
        <w:rPr>
          <w:rFonts w:ascii="Times New Roman" w:hAnsi="Times New Roman"/>
          <w:lang w:val="ru-RU"/>
        </w:rPr>
      </w:pPr>
      <w:r w:rsidRPr="000D167D">
        <w:rPr>
          <w:rFonts w:ascii="Times New Roman" w:hAnsi="Times New Roman"/>
          <w:lang w:val="ru-RU"/>
        </w:rPr>
        <w:t xml:space="preserve">листом </w:t>
      </w:r>
      <w:proofErr w:type="spellStart"/>
      <w:r w:rsidRPr="000D167D">
        <w:rPr>
          <w:rFonts w:ascii="Times New Roman" w:hAnsi="Times New Roman"/>
          <w:lang w:val="ru-RU"/>
        </w:rPr>
        <w:t>від</w:t>
      </w:r>
      <w:proofErr w:type="spellEnd"/>
      <w:r w:rsidRPr="000D167D">
        <w:rPr>
          <w:rFonts w:ascii="Times New Roman" w:hAnsi="Times New Roman"/>
          <w:lang w:val="ru-RU"/>
        </w:rPr>
        <w:t xml:space="preserve"> 16.11.2020 № 130-26.13/08-15685 до </w:t>
      </w:r>
      <w:proofErr w:type="gramStart"/>
      <w:r w:rsidRPr="000D167D">
        <w:rPr>
          <w:rFonts w:ascii="Times New Roman" w:hAnsi="Times New Roman"/>
          <w:lang w:val="ru-RU"/>
        </w:rPr>
        <w:t>ТОВ</w:t>
      </w:r>
      <w:proofErr w:type="gramEnd"/>
      <w:r w:rsidRPr="000D167D">
        <w:rPr>
          <w:rFonts w:ascii="Times New Roman" w:hAnsi="Times New Roman"/>
          <w:lang w:val="ru-RU"/>
        </w:rPr>
        <w:t xml:space="preserve"> «</w:t>
      </w:r>
      <w:proofErr w:type="spellStart"/>
      <w:r w:rsidRPr="000D167D">
        <w:rPr>
          <w:rFonts w:ascii="Times New Roman" w:hAnsi="Times New Roman"/>
          <w:lang w:val="ru-RU"/>
        </w:rPr>
        <w:t>Фінансова</w:t>
      </w:r>
      <w:proofErr w:type="spellEnd"/>
      <w:r w:rsidRPr="000D167D">
        <w:rPr>
          <w:rFonts w:ascii="Times New Roman" w:hAnsi="Times New Roman"/>
          <w:lang w:val="ru-RU"/>
        </w:rPr>
        <w:t xml:space="preserve"> </w:t>
      </w:r>
      <w:proofErr w:type="spellStart"/>
      <w:r w:rsidRPr="000D167D">
        <w:rPr>
          <w:rFonts w:ascii="Times New Roman" w:hAnsi="Times New Roman"/>
          <w:lang w:val="ru-RU"/>
        </w:rPr>
        <w:t>компанія</w:t>
      </w:r>
      <w:proofErr w:type="spellEnd"/>
      <w:r w:rsidRPr="000D167D">
        <w:rPr>
          <w:rFonts w:ascii="Times New Roman" w:hAnsi="Times New Roman"/>
          <w:lang w:val="ru-RU"/>
        </w:rPr>
        <w:t xml:space="preserve"> «Сократ»;</w:t>
      </w:r>
    </w:p>
    <w:p w:rsidR="000D167D" w:rsidRPr="000D167D" w:rsidRDefault="000D167D" w:rsidP="000D167D">
      <w:pPr>
        <w:pStyle w:val="aa"/>
        <w:numPr>
          <w:ilvl w:val="0"/>
          <w:numId w:val="9"/>
        </w:numPr>
        <w:jc w:val="both"/>
        <w:rPr>
          <w:rFonts w:ascii="Times New Roman" w:hAnsi="Times New Roman"/>
          <w:lang w:val="ru-RU"/>
        </w:rPr>
      </w:pPr>
      <w:r w:rsidRPr="000D167D">
        <w:rPr>
          <w:rFonts w:ascii="Times New Roman" w:hAnsi="Times New Roman"/>
          <w:lang w:val="ru-RU"/>
        </w:rPr>
        <w:t xml:space="preserve">листом </w:t>
      </w:r>
      <w:proofErr w:type="spellStart"/>
      <w:r w:rsidRPr="000D167D">
        <w:rPr>
          <w:rFonts w:ascii="Times New Roman" w:hAnsi="Times New Roman"/>
          <w:lang w:val="ru-RU"/>
        </w:rPr>
        <w:t>від</w:t>
      </w:r>
      <w:proofErr w:type="spellEnd"/>
      <w:r w:rsidRPr="000D167D">
        <w:rPr>
          <w:rFonts w:ascii="Times New Roman" w:hAnsi="Times New Roman"/>
          <w:lang w:val="ru-RU"/>
        </w:rPr>
        <w:t xml:space="preserve"> 16.11.2020 № 130-26.13/08-15686 до </w:t>
      </w:r>
      <w:proofErr w:type="gramStart"/>
      <w:r w:rsidRPr="000D167D">
        <w:rPr>
          <w:rFonts w:ascii="Times New Roman" w:hAnsi="Times New Roman"/>
          <w:lang w:val="ru-RU"/>
        </w:rPr>
        <w:t>ТОВ</w:t>
      </w:r>
      <w:proofErr w:type="gramEnd"/>
      <w:r w:rsidRPr="000D167D">
        <w:rPr>
          <w:rFonts w:ascii="Times New Roman" w:hAnsi="Times New Roman"/>
          <w:lang w:val="ru-RU"/>
        </w:rPr>
        <w:t xml:space="preserve"> «</w:t>
      </w:r>
      <w:proofErr w:type="spellStart"/>
      <w:r w:rsidRPr="000D167D">
        <w:rPr>
          <w:rFonts w:ascii="Times New Roman" w:hAnsi="Times New Roman"/>
          <w:lang w:val="ru-RU"/>
        </w:rPr>
        <w:t>Навігатор-Інвест</w:t>
      </w:r>
      <w:proofErr w:type="spellEnd"/>
      <w:r w:rsidRPr="000D167D">
        <w:rPr>
          <w:rFonts w:ascii="Times New Roman" w:hAnsi="Times New Roman"/>
          <w:lang w:val="ru-RU"/>
        </w:rPr>
        <w:t>»;</w:t>
      </w:r>
    </w:p>
    <w:p w:rsidR="000D167D" w:rsidRPr="000D167D" w:rsidRDefault="000D167D" w:rsidP="000D167D">
      <w:pPr>
        <w:pStyle w:val="aa"/>
        <w:numPr>
          <w:ilvl w:val="0"/>
          <w:numId w:val="9"/>
        </w:numPr>
        <w:ind w:left="709" w:firstLine="328"/>
        <w:rPr>
          <w:rFonts w:ascii="Times New Roman" w:hAnsi="Times New Roman"/>
          <w:lang w:val="ru-RU"/>
        </w:rPr>
      </w:pPr>
      <w:r w:rsidRPr="000D167D">
        <w:rPr>
          <w:rFonts w:ascii="Times New Roman" w:hAnsi="Times New Roman"/>
          <w:lang w:val="ru-RU"/>
        </w:rPr>
        <w:t xml:space="preserve">листом </w:t>
      </w:r>
      <w:proofErr w:type="spellStart"/>
      <w:r w:rsidRPr="000D167D">
        <w:rPr>
          <w:rFonts w:ascii="Times New Roman" w:hAnsi="Times New Roman"/>
          <w:lang w:val="ru-RU"/>
        </w:rPr>
        <w:t>від</w:t>
      </w:r>
      <w:proofErr w:type="spellEnd"/>
      <w:r w:rsidRPr="000D167D">
        <w:rPr>
          <w:rFonts w:ascii="Times New Roman" w:hAnsi="Times New Roman"/>
          <w:lang w:val="ru-RU"/>
        </w:rPr>
        <w:t xml:space="preserve"> 16.11.2020 № 130-26.13/08-15687 </w:t>
      </w:r>
      <w:proofErr w:type="gramStart"/>
      <w:r w:rsidRPr="000D167D">
        <w:rPr>
          <w:rFonts w:ascii="Times New Roman" w:hAnsi="Times New Roman"/>
          <w:lang w:val="ru-RU"/>
        </w:rPr>
        <w:t>до</w:t>
      </w:r>
      <w:proofErr w:type="gramEnd"/>
      <w:r w:rsidRPr="000D167D">
        <w:rPr>
          <w:rFonts w:ascii="Times New Roman" w:hAnsi="Times New Roman"/>
          <w:lang w:val="ru-RU"/>
        </w:rPr>
        <w:t xml:space="preserve"> ПАТ «</w:t>
      </w:r>
      <w:proofErr w:type="spellStart"/>
      <w:r w:rsidRPr="000D167D">
        <w:rPr>
          <w:rFonts w:ascii="Times New Roman" w:hAnsi="Times New Roman"/>
          <w:lang w:val="ru-RU"/>
        </w:rPr>
        <w:t>Розрахунковий</w:t>
      </w:r>
      <w:proofErr w:type="spellEnd"/>
      <w:r w:rsidRPr="000D167D">
        <w:rPr>
          <w:rFonts w:ascii="Times New Roman" w:hAnsi="Times New Roman"/>
          <w:lang w:val="ru-RU"/>
        </w:rPr>
        <w:t xml:space="preserve"> центр»;</w:t>
      </w:r>
    </w:p>
    <w:p w:rsidR="000D167D" w:rsidRPr="000D167D" w:rsidRDefault="000D167D" w:rsidP="000D167D">
      <w:pPr>
        <w:pStyle w:val="aa"/>
        <w:numPr>
          <w:ilvl w:val="0"/>
          <w:numId w:val="9"/>
        </w:numPr>
        <w:ind w:left="709" w:firstLine="328"/>
        <w:jc w:val="both"/>
        <w:rPr>
          <w:rFonts w:ascii="Times New Roman" w:hAnsi="Times New Roman"/>
          <w:lang w:val="ru-RU"/>
        </w:rPr>
      </w:pPr>
      <w:r w:rsidRPr="000D167D">
        <w:rPr>
          <w:rFonts w:ascii="Times New Roman" w:hAnsi="Times New Roman"/>
          <w:lang w:val="ru-RU"/>
        </w:rPr>
        <w:t xml:space="preserve">листом </w:t>
      </w:r>
      <w:proofErr w:type="spellStart"/>
      <w:r w:rsidRPr="000D167D">
        <w:rPr>
          <w:rFonts w:ascii="Times New Roman" w:hAnsi="Times New Roman"/>
          <w:lang w:val="ru-RU"/>
        </w:rPr>
        <w:t>від</w:t>
      </w:r>
      <w:proofErr w:type="spellEnd"/>
      <w:r w:rsidRPr="000D167D">
        <w:rPr>
          <w:rFonts w:ascii="Times New Roman" w:hAnsi="Times New Roman"/>
          <w:lang w:val="ru-RU"/>
        </w:rPr>
        <w:t xml:space="preserve"> 16.11.2020 № 130-26.13/08-15688 до </w:t>
      </w:r>
      <w:proofErr w:type="gramStart"/>
      <w:r w:rsidRPr="000D167D">
        <w:rPr>
          <w:rFonts w:ascii="Times New Roman" w:hAnsi="Times New Roman"/>
          <w:lang w:val="ru-RU"/>
        </w:rPr>
        <w:t>ТОВ</w:t>
      </w:r>
      <w:proofErr w:type="gramEnd"/>
      <w:r w:rsidRPr="000D167D">
        <w:rPr>
          <w:rFonts w:ascii="Times New Roman" w:hAnsi="Times New Roman"/>
          <w:lang w:val="ru-RU"/>
        </w:rPr>
        <w:t xml:space="preserve"> «</w:t>
      </w:r>
      <w:proofErr w:type="spellStart"/>
      <w:r w:rsidRPr="000D167D">
        <w:rPr>
          <w:rFonts w:ascii="Times New Roman" w:hAnsi="Times New Roman"/>
          <w:lang w:val="ru-RU"/>
        </w:rPr>
        <w:t>Фінансова</w:t>
      </w:r>
      <w:proofErr w:type="spellEnd"/>
      <w:r w:rsidRPr="000D167D">
        <w:rPr>
          <w:rFonts w:ascii="Times New Roman" w:hAnsi="Times New Roman"/>
          <w:lang w:val="ru-RU"/>
        </w:rPr>
        <w:t xml:space="preserve"> </w:t>
      </w:r>
      <w:proofErr w:type="spellStart"/>
      <w:r w:rsidRPr="000D167D">
        <w:rPr>
          <w:rFonts w:ascii="Times New Roman" w:hAnsi="Times New Roman"/>
          <w:lang w:val="ru-RU"/>
        </w:rPr>
        <w:t>компанія</w:t>
      </w:r>
      <w:proofErr w:type="spellEnd"/>
      <w:r w:rsidRPr="000D167D">
        <w:rPr>
          <w:rFonts w:ascii="Times New Roman" w:hAnsi="Times New Roman"/>
          <w:lang w:val="ru-RU"/>
        </w:rPr>
        <w:t xml:space="preserve"> «КУБ»;</w:t>
      </w:r>
    </w:p>
    <w:p w:rsidR="000D167D" w:rsidRPr="000D167D" w:rsidRDefault="000D167D" w:rsidP="000D167D">
      <w:pPr>
        <w:pStyle w:val="aa"/>
        <w:numPr>
          <w:ilvl w:val="0"/>
          <w:numId w:val="9"/>
        </w:numPr>
        <w:ind w:left="709" w:firstLine="328"/>
        <w:jc w:val="both"/>
        <w:rPr>
          <w:rFonts w:ascii="Times New Roman" w:hAnsi="Times New Roman"/>
          <w:lang w:val="ru-RU"/>
        </w:rPr>
      </w:pPr>
      <w:r w:rsidRPr="000D167D">
        <w:rPr>
          <w:rFonts w:ascii="Times New Roman" w:hAnsi="Times New Roman"/>
          <w:lang w:val="ru-RU"/>
        </w:rPr>
        <w:t xml:space="preserve">листом </w:t>
      </w:r>
      <w:proofErr w:type="spellStart"/>
      <w:r w:rsidRPr="000D167D">
        <w:rPr>
          <w:rFonts w:ascii="Times New Roman" w:hAnsi="Times New Roman"/>
          <w:lang w:val="ru-RU"/>
        </w:rPr>
        <w:t>від</w:t>
      </w:r>
      <w:proofErr w:type="spellEnd"/>
      <w:r w:rsidRPr="000D167D">
        <w:rPr>
          <w:rFonts w:ascii="Times New Roman" w:hAnsi="Times New Roman"/>
          <w:lang w:val="ru-RU"/>
        </w:rPr>
        <w:t xml:space="preserve"> 16.11.2020 № 130-26.13/08-15689 до </w:t>
      </w:r>
      <w:proofErr w:type="spellStart"/>
      <w:r w:rsidRPr="000D167D">
        <w:rPr>
          <w:rFonts w:ascii="Times New Roman" w:hAnsi="Times New Roman"/>
          <w:lang w:val="ru-RU"/>
        </w:rPr>
        <w:t>ПрАТ</w:t>
      </w:r>
      <w:proofErr w:type="spellEnd"/>
      <w:r w:rsidRPr="000D167D">
        <w:rPr>
          <w:rFonts w:ascii="Times New Roman" w:hAnsi="Times New Roman"/>
          <w:lang w:val="ru-RU"/>
        </w:rPr>
        <w:t xml:space="preserve"> «ІФК «</w:t>
      </w:r>
      <w:proofErr w:type="gramStart"/>
      <w:r w:rsidRPr="000D167D">
        <w:rPr>
          <w:rFonts w:ascii="Times New Roman" w:hAnsi="Times New Roman"/>
          <w:lang w:val="ru-RU"/>
        </w:rPr>
        <w:t>АРТ</w:t>
      </w:r>
      <w:proofErr w:type="gramEnd"/>
      <w:r w:rsidRPr="000D167D">
        <w:rPr>
          <w:rFonts w:ascii="Times New Roman" w:hAnsi="Times New Roman"/>
          <w:lang w:val="ru-RU"/>
        </w:rPr>
        <w:t xml:space="preserve"> КАПІТАЛ»;</w:t>
      </w:r>
    </w:p>
    <w:p w:rsidR="000D167D" w:rsidRPr="000D167D" w:rsidRDefault="000D167D" w:rsidP="000D167D">
      <w:pPr>
        <w:pStyle w:val="aa"/>
        <w:numPr>
          <w:ilvl w:val="0"/>
          <w:numId w:val="9"/>
        </w:numPr>
        <w:jc w:val="both"/>
        <w:rPr>
          <w:rFonts w:ascii="Times New Roman" w:hAnsi="Times New Roman"/>
          <w:lang w:val="ru-RU"/>
        </w:rPr>
      </w:pPr>
      <w:r w:rsidRPr="000D167D">
        <w:rPr>
          <w:rFonts w:ascii="Times New Roman" w:hAnsi="Times New Roman"/>
          <w:lang w:val="ru-RU"/>
        </w:rPr>
        <w:t xml:space="preserve">листом </w:t>
      </w:r>
      <w:proofErr w:type="spellStart"/>
      <w:r w:rsidRPr="000D167D">
        <w:rPr>
          <w:rFonts w:ascii="Times New Roman" w:hAnsi="Times New Roman"/>
          <w:lang w:val="ru-RU"/>
        </w:rPr>
        <w:t>від</w:t>
      </w:r>
      <w:proofErr w:type="spellEnd"/>
      <w:r w:rsidRPr="000D167D">
        <w:rPr>
          <w:rFonts w:ascii="Times New Roman" w:hAnsi="Times New Roman"/>
          <w:lang w:val="ru-RU"/>
        </w:rPr>
        <w:t xml:space="preserve"> 16.11.2020 № 130-26.13/08-15690 до </w:t>
      </w:r>
      <w:proofErr w:type="gramStart"/>
      <w:r w:rsidRPr="000D167D">
        <w:rPr>
          <w:rFonts w:ascii="Times New Roman" w:hAnsi="Times New Roman"/>
          <w:lang w:val="ru-RU"/>
        </w:rPr>
        <w:t>ТОВ</w:t>
      </w:r>
      <w:proofErr w:type="gramEnd"/>
      <w:r w:rsidRPr="000D167D">
        <w:rPr>
          <w:rFonts w:ascii="Times New Roman" w:hAnsi="Times New Roman"/>
          <w:lang w:val="ru-RU"/>
        </w:rPr>
        <w:t xml:space="preserve"> «Акцептор».</w:t>
      </w:r>
    </w:p>
    <w:p w:rsidR="000D167D" w:rsidRPr="000D167D" w:rsidRDefault="000D167D" w:rsidP="000D167D">
      <w:pPr>
        <w:ind w:left="709" w:hanging="710"/>
        <w:jc w:val="both"/>
        <w:rPr>
          <w:rFonts w:ascii="Times New Roman" w:hAnsi="Times New Roman"/>
          <w:lang w:val="ru-RU"/>
        </w:rPr>
      </w:pPr>
      <w:r w:rsidRPr="000D167D">
        <w:rPr>
          <w:rFonts w:ascii="Times New Roman" w:hAnsi="Times New Roman"/>
          <w:lang w:val="ru-RU"/>
        </w:rPr>
        <w:lastRenderedPageBreak/>
        <w:t>(</w:t>
      </w:r>
      <w:r w:rsidR="009A5055">
        <w:rPr>
          <w:rFonts w:ascii="Times New Roman" w:hAnsi="Times New Roman"/>
          <w:lang w:val="ru-RU"/>
        </w:rPr>
        <w:t>70</w:t>
      </w:r>
      <w:r w:rsidRPr="000D167D">
        <w:rPr>
          <w:rFonts w:ascii="Times New Roman" w:hAnsi="Times New Roman"/>
          <w:lang w:val="ru-RU"/>
        </w:rPr>
        <w:t>)</w:t>
      </w:r>
      <w:r w:rsidRPr="000D167D">
        <w:rPr>
          <w:rFonts w:ascii="Times New Roman" w:hAnsi="Times New Roman"/>
          <w:lang w:val="ru-RU"/>
        </w:rPr>
        <w:tab/>
      </w:r>
      <w:proofErr w:type="spellStart"/>
      <w:r w:rsidRPr="000D167D">
        <w:rPr>
          <w:rFonts w:ascii="Times New Roman" w:hAnsi="Times New Roman"/>
          <w:lang w:val="ru-RU"/>
        </w:rPr>
        <w:t>Зазначеними</w:t>
      </w:r>
      <w:proofErr w:type="spellEnd"/>
      <w:r w:rsidRPr="000D167D">
        <w:rPr>
          <w:rFonts w:ascii="Times New Roman" w:hAnsi="Times New Roman"/>
          <w:lang w:val="ru-RU"/>
        </w:rPr>
        <w:t xml:space="preserve"> листами сторонам </w:t>
      </w:r>
      <w:proofErr w:type="spellStart"/>
      <w:r w:rsidRPr="000D167D">
        <w:rPr>
          <w:rFonts w:ascii="Times New Roman" w:hAnsi="Times New Roman"/>
          <w:lang w:val="ru-RU"/>
        </w:rPr>
        <w:t>справи</w:t>
      </w:r>
      <w:proofErr w:type="spellEnd"/>
      <w:r w:rsidRPr="000D167D">
        <w:rPr>
          <w:rFonts w:ascii="Times New Roman" w:hAnsi="Times New Roman"/>
          <w:lang w:val="ru-RU"/>
        </w:rPr>
        <w:t xml:space="preserve"> </w:t>
      </w:r>
      <w:proofErr w:type="spellStart"/>
      <w:r w:rsidRPr="000D167D">
        <w:rPr>
          <w:rFonts w:ascii="Times New Roman" w:hAnsi="Times New Roman"/>
          <w:lang w:val="ru-RU"/>
        </w:rPr>
        <w:t>було</w:t>
      </w:r>
      <w:proofErr w:type="spellEnd"/>
      <w:r w:rsidRPr="000D167D">
        <w:rPr>
          <w:rFonts w:ascii="Times New Roman" w:hAnsi="Times New Roman"/>
          <w:lang w:val="ru-RU"/>
        </w:rPr>
        <w:t xml:space="preserve"> </w:t>
      </w:r>
      <w:proofErr w:type="spellStart"/>
      <w:r w:rsidRPr="000D167D">
        <w:rPr>
          <w:rFonts w:ascii="Times New Roman" w:hAnsi="Times New Roman"/>
          <w:lang w:val="ru-RU"/>
        </w:rPr>
        <w:t>повідомлено</w:t>
      </w:r>
      <w:proofErr w:type="spellEnd"/>
      <w:r w:rsidRPr="000D167D">
        <w:rPr>
          <w:rFonts w:ascii="Times New Roman" w:hAnsi="Times New Roman"/>
          <w:lang w:val="ru-RU"/>
        </w:rPr>
        <w:t xml:space="preserve"> про право </w:t>
      </w:r>
      <w:proofErr w:type="spellStart"/>
      <w:r w:rsidRPr="000D167D">
        <w:rPr>
          <w:rFonts w:ascii="Times New Roman" w:hAnsi="Times New Roman"/>
          <w:lang w:val="ru-RU"/>
        </w:rPr>
        <w:t>надати</w:t>
      </w:r>
      <w:proofErr w:type="spellEnd"/>
      <w:r w:rsidRPr="000D167D">
        <w:rPr>
          <w:rFonts w:ascii="Times New Roman" w:hAnsi="Times New Roman"/>
          <w:lang w:val="ru-RU"/>
        </w:rPr>
        <w:t xml:space="preserve"> </w:t>
      </w:r>
      <w:proofErr w:type="spellStart"/>
      <w:r w:rsidRPr="000D167D">
        <w:rPr>
          <w:rFonts w:ascii="Times New Roman" w:hAnsi="Times New Roman"/>
          <w:lang w:val="ru-RU"/>
        </w:rPr>
        <w:t>зауваження</w:t>
      </w:r>
      <w:proofErr w:type="spellEnd"/>
      <w:r w:rsidRPr="000D167D">
        <w:rPr>
          <w:rFonts w:ascii="Times New Roman" w:hAnsi="Times New Roman"/>
          <w:lang w:val="ru-RU"/>
        </w:rPr>
        <w:t xml:space="preserve"> до </w:t>
      </w:r>
      <w:proofErr w:type="spellStart"/>
      <w:r w:rsidRPr="000D167D">
        <w:rPr>
          <w:rFonts w:ascii="Times New Roman" w:hAnsi="Times New Roman"/>
          <w:lang w:val="ru-RU"/>
        </w:rPr>
        <w:t>подання</w:t>
      </w:r>
      <w:proofErr w:type="spellEnd"/>
      <w:r w:rsidRPr="000D167D">
        <w:rPr>
          <w:rFonts w:ascii="Times New Roman" w:hAnsi="Times New Roman"/>
          <w:lang w:val="ru-RU"/>
        </w:rPr>
        <w:t xml:space="preserve"> з </w:t>
      </w:r>
      <w:proofErr w:type="spellStart"/>
      <w:r w:rsidRPr="000D167D">
        <w:rPr>
          <w:rFonts w:ascii="Times New Roman" w:hAnsi="Times New Roman"/>
          <w:lang w:val="ru-RU"/>
        </w:rPr>
        <w:t>попередніми</w:t>
      </w:r>
      <w:proofErr w:type="spellEnd"/>
      <w:r w:rsidRPr="000D167D">
        <w:rPr>
          <w:rFonts w:ascii="Times New Roman" w:hAnsi="Times New Roman"/>
          <w:lang w:val="ru-RU"/>
        </w:rPr>
        <w:t xml:space="preserve"> </w:t>
      </w:r>
      <w:proofErr w:type="spellStart"/>
      <w:r w:rsidRPr="000D167D">
        <w:rPr>
          <w:rFonts w:ascii="Times New Roman" w:hAnsi="Times New Roman"/>
          <w:lang w:val="ru-RU"/>
        </w:rPr>
        <w:t>висновками</w:t>
      </w:r>
      <w:proofErr w:type="spellEnd"/>
      <w:r w:rsidRPr="000D167D">
        <w:rPr>
          <w:rFonts w:ascii="Times New Roman" w:hAnsi="Times New Roman"/>
          <w:lang w:val="ru-RU"/>
        </w:rPr>
        <w:t xml:space="preserve"> </w:t>
      </w:r>
      <w:r w:rsidR="003F4EBE">
        <w:rPr>
          <w:rFonts w:ascii="Times New Roman" w:hAnsi="Times New Roman"/>
          <w:lang w:val="ru-RU"/>
        </w:rPr>
        <w:t>в</w:t>
      </w:r>
      <w:r w:rsidR="003F4EBE" w:rsidRPr="000D167D">
        <w:rPr>
          <w:rFonts w:ascii="Times New Roman" w:hAnsi="Times New Roman"/>
          <w:lang w:val="ru-RU"/>
        </w:rPr>
        <w:t xml:space="preserve"> </w:t>
      </w:r>
      <w:proofErr w:type="spellStart"/>
      <w:r w:rsidRPr="000D167D">
        <w:rPr>
          <w:rFonts w:ascii="Times New Roman" w:hAnsi="Times New Roman"/>
          <w:lang w:val="ru-RU"/>
        </w:rPr>
        <w:t>десятиденний</w:t>
      </w:r>
      <w:proofErr w:type="spellEnd"/>
      <w:r w:rsidRPr="000D167D">
        <w:rPr>
          <w:rFonts w:ascii="Times New Roman" w:hAnsi="Times New Roman"/>
          <w:lang w:val="ru-RU"/>
        </w:rPr>
        <w:t xml:space="preserve"> </w:t>
      </w:r>
      <w:r w:rsidR="003F4EBE">
        <w:rPr>
          <w:rFonts w:ascii="Times New Roman" w:hAnsi="Times New Roman"/>
          <w:lang w:val="ru-RU"/>
        </w:rPr>
        <w:t>строк</w:t>
      </w:r>
      <w:r w:rsidR="003F4EBE" w:rsidRPr="000D167D">
        <w:rPr>
          <w:rFonts w:ascii="Times New Roman" w:hAnsi="Times New Roman"/>
          <w:lang w:val="ru-RU"/>
        </w:rPr>
        <w:t xml:space="preserve"> </w:t>
      </w:r>
      <w:proofErr w:type="spellStart"/>
      <w:r w:rsidR="003F4EBE">
        <w:rPr>
          <w:rFonts w:ascii="Times New Roman" w:hAnsi="Times New Roman"/>
          <w:lang w:val="ru-RU"/>
        </w:rPr>
        <w:t>і</w:t>
      </w:r>
      <w:r w:rsidRPr="000D167D">
        <w:rPr>
          <w:rFonts w:ascii="Times New Roman" w:hAnsi="Times New Roman"/>
          <w:lang w:val="ru-RU"/>
        </w:rPr>
        <w:t>з</w:t>
      </w:r>
      <w:proofErr w:type="spellEnd"/>
      <w:r w:rsidRPr="000D167D">
        <w:rPr>
          <w:rFonts w:ascii="Times New Roman" w:hAnsi="Times New Roman"/>
          <w:lang w:val="ru-RU"/>
        </w:rPr>
        <w:t xml:space="preserve"> дня </w:t>
      </w:r>
      <w:proofErr w:type="spellStart"/>
      <w:r w:rsidRPr="000D167D">
        <w:rPr>
          <w:rFonts w:ascii="Times New Roman" w:hAnsi="Times New Roman"/>
          <w:lang w:val="ru-RU"/>
        </w:rPr>
        <w:t>отримання</w:t>
      </w:r>
      <w:proofErr w:type="spellEnd"/>
      <w:r w:rsidRPr="000D167D">
        <w:rPr>
          <w:rFonts w:ascii="Times New Roman" w:hAnsi="Times New Roman"/>
          <w:lang w:val="ru-RU"/>
        </w:rPr>
        <w:t xml:space="preserve"> </w:t>
      </w:r>
      <w:proofErr w:type="spellStart"/>
      <w:r w:rsidRPr="000D167D">
        <w:rPr>
          <w:rFonts w:ascii="Times New Roman" w:hAnsi="Times New Roman"/>
          <w:lang w:val="ru-RU"/>
        </w:rPr>
        <w:t>цього</w:t>
      </w:r>
      <w:proofErr w:type="spellEnd"/>
      <w:r w:rsidRPr="000D167D">
        <w:rPr>
          <w:rFonts w:ascii="Times New Roman" w:hAnsi="Times New Roman"/>
          <w:lang w:val="ru-RU"/>
        </w:rPr>
        <w:t xml:space="preserve"> </w:t>
      </w:r>
      <w:proofErr w:type="spellStart"/>
      <w:r w:rsidRPr="000D167D">
        <w:rPr>
          <w:rFonts w:ascii="Times New Roman" w:hAnsi="Times New Roman"/>
          <w:lang w:val="ru-RU"/>
        </w:rPr>
        <w:t>подання</w:t>
      </w:r>
      <w:proofErr w:type="spellEnd"/>
      <w:r w:rsidRPr="000D167D">
        <w:rPr>
          <w:rFonts w:ascii="Times New Roman" w:hAnsi="Times New Roman"/>
          <w:lang w:val="ru-RU"/>
        </w:rPr>
        <w:t>.</w:t>
      </w:r>
    </w:p>
    <w:p w:rsidR="000D167D" w:rsidRPr="000D167D" w:rsidRDefault="000D167D" w:rsidP="000D167D">
      <w:pPr>
        <w:ind w:left="709" w:hanging="710"/>
        <w:jc w:val="both"/>
        <w:rPr>
          <w:rFonts w:ascii="Times New Roman" w:hAnsi="Times New Roman"/>
          <w:lang w:val="ru-RU"/>
        </w:rPr>
      </w:pPr>
      <w:r w:rsidRPr="000D167D">
        <w:rPr>
          <w:rFonts w:ascii="Times New Roman" w:hAnsi="Times New Roman"/>
          <w:lang w:val="ru-RU"/>
        </w:rPr>
        <w:t>(7</w:t>
      </w:r>
      <w:r w:rsidR="009A5055">
        <w:rPr>
          <w:rFonts w:ascii="Times New Roman" w:hAnsi="Times New Roman"/>
          <w:lang w:val="ru-RU"/>
        </w:rPr>
        <w:t>1</w:t>
      </w:r>
      <w:r w:rsidRPr="000D167D">
        <w:rPr>
          <w:rFonts w:ascii="Times New Roman" w:hAnsi="Times New Roman"/>
          <w:lang w:val="ru-RU"/>
        </w:rPr>
        <w:t>)</w:t>
      </w:r>
      <w:r w:rsidRPr="000D167D">
        <w:rPr>
          <w:rFonts w:ascii="Times New Roman" w:hAnsi="Times New Roman"/>
          <w:lang w:val="ru-RU"/>
        </w:rPr>
        <w:tab/>
      </w:r>
      <w:proofErr w:type="spellStart"/>
      <w:r w:rsidRPr="000D167D">
        <w:rPr>
          <w:rFonts w:ascii="Times New Roman" w:hAnsi="Times New Roman"/>
          <w:lang w:val="ru-RU"/>
        </w:rPr>
        <w:t>Згідно</w:t>
      </w:r>
      <w:proofErr w:type="spellEnd"/>
      <w:r w:rsidRPr="000D167D">
        <w:rPr>
          <w:rFonts w:ascii="Times New Roman" w:hAnsi="Times New Roman"/>
          <w:lang w:val="ru-RU"/>
        </w:rPr>
        <w:t xml:space="preserve"> з </w:t>
      </w:r>
      <w:proofErr w:type="spellStart"/>
      <w:r w:rsidRPr="000D167D">
        <w:rPr>
          <w:rFonts w:ascii="Times New Roman" w:hAnsi="Times New Roman"/>
          <w:lang w:val="ru-RU"/>
        </w:rPr>
        <w:t>повідомленнями</w:t>
      </w:r>
      <w:proofErr w:type="spellEnd"/>
      <w:r w:rsidRPr="000D167D">
        <w:rPr>
          <w:rFonts w:ascii="Times New Roman" w:hAnsi="Times New Roman"/>
          <w:lang w:val="ru-RU"/>
        </w:rPr>
        <w:t xml:space="preserve"> про </w:t>
      </w:r>
      <w:proofErr w:type="spellStart"/>
      <w:r w:rsidRPr="000D167D">
        <w:rPr>
          <w:rFonts w:ascii="Times New Roman" w:hAnsi="Times New Roman"/>
          <w:lang w:val="ru-RU"/>
        </w:rPr>
        <w:t>вручення</w:t>
      </w:r>
      <w:proofErr w:type="spellEnd"/>
      <w:r w:rsidRPr="000D167D">
        <w:rPr>
          <w:rFonts w:ascii="Times New Roman" w:hAnsi="Times New Roman"/>
          <w:lang w:val="ru-RU"/>
        </w:rPr>
        <w:t xml:space="preserve"> </w:t>
      </w:r>
      <w:proofErr w:type="spellStart"/>
      <w:r w:rsidRPr="000D167D">
        <w:rPr>
          <w:rFonts w:ascii="Times New Roman" w:hAnsi="Times New Roman"/>
          <w:lang w:val="ru-RU"/>
        </w:rPr>
        <w:t>поштового</w:t>
      </w:r>
      <w:proofErr w:type="spellEnd"/>
      <w:r w:rsidRPr="000D167D">
        <w:rPr>
          <w:rFonts w:ascii="Times New Roman" w:hAnsi="Times New Roman"/>
          <w:lang w:val="ru-RU"/>
        </w:rPr>
        <w:t xml:space="preserve"> </w:t>
      </w:r>
      <w:proofErr w:type="spellStart"/>
      <w:r w:rsidRPr="000D167D">
        <w:rPr>
          <w:rFonts w:ascii="Times New Roman" w:hAnsi="Times New Roman"/>
          <w:lang w:val="ru-RU"/>
        </w:rPr>
        <w:t>відправлення</w:t>
      </w:r>
      <w:proofErr w:type="spellEnd"/>
      <w:r w:rsidRPr="000D167D">
        <w:rPr>
          <w:rFonts w:ascii="Times New Roman" w:hAnsi="Times New Roman"/>
          <w:lang w:val="ru-RU"/>
        </w:rPr>
        <w:t xml:space="preserve"> </w:t>
      </w:r>
      <w:proofErr w:type="spellStart"/>
      <w:r w:rsidRPr="000D167D">
        <w:rPr>
          <w:rFonts w:ascii="Times New Roman" w:hAnsi="Times New Roman"/>
          <w:lang w:val="ru-RU"/>
        </w:rPr>
        <w:t>сторони</w:t>
      </w:r>
      <w:proofErr w:type="spellEnd"/>
      <w:r w:rsidRPr="000D167D">
        <w:rPr>
          <w:rFonts w:ascii="Times New Roman" w:hAnsi="Times New Roman"/>
          <w:lang w:val="ru-RU"/>
        </w:rPr>
        <w:t xml:space="preserve"> </w:t>
      </w:r>
      <w:proofErr w:type="spellStart"/>
      <w:r w:rsidRPr="000D167D">
        <w:rPr>
          <w:rFonts w:ascii="Times New Roman" w:hAnsi="Times New Roman"/>
          <w:lang w:val="ru-RU"/>
        </w:rPr>
        <w:t>справи</w:t>
      </w:r>
      <w:proofErr w:type="spellEnd"/>
      <w:r w:rsidRPr="000D167D">
        <w:rPr>
          <w:rFonts w:ascii="Times New Roman" w:hAnsi="Times New Roman"/>
          <w:lang w:val="ru-RU"/>
        </w:rPr>
        <w:t xml:space="preserve"> </w:t>
      </w:r>
      <w:proofErr w:type="spellStart"/>
      <w:r w:rsidRPr="000D167D">
        <w:rPr>
          <w:rFonts w:ascii="Times New Roman" w:hAnsi="Times New Roman"/>
          <w:lang w:val="ru-RU"/>
        </w:rPr>
        <w:t>отримали</w:t>
      </w:r>
      <w:proofErr w:type="spellEnd"/>
      <w:r w:rsidRPr="000D167D">
        <w:rPr>
          <w:rFonts w:ascii="Times New Roman" w:hAnsi="Times New Roman"/>
          <w:lang w:val="ru-RU"/>
        </w:rPr>
        <w:t xml:space="preserve"> </w:t>
      </w:r>
      <w:proofErr w:type="spellStart"/>
      <w:r w:rsidRPr="000D167D">
        <w:rPr>
          <w:rFonts w:ascii="Times New Roman" w:hAnsi="Times New Roman"/>
          <w:lang w:val="ru-RU"/>
        </w:rPr>
        <w:t>копію</w:t>
      </w:r>
      <w:proofErr w:type="spellEnd"/>
      <w:r w:rsidRPr="000D167D">
        <w:rPr>
          <w:rFonts w:ascii="Times New Roman" w:hAnsi="Times New Roman"/>
          <w:lang w:val="ru-RU"/>
        </w:rPr>
        <w:t xml:space="preserve"> </w:t>
      </w:r>
      <w:proofErr w:type="spellStart"/>
      <w:r w:rsidRPr="000D167D">
        <w:rPr>
          <w:rFonts w:ascii="Times New Roman" w:hAnsi="Times New Roman"/>
          <w:lang w:val="ru-RU"/>
        </w:rPr>
        <w:t>подання</w:t>
      </w:r>
      <w:proofErr w:type="spellEnd"/>
      <w:r w:rsidRPr="000D167D">
        <w:rPr>
          <w:rFonts w:ascii="Times New Roman" w:hAnsi="Times New Roman"/>
          <w:lang w:val="ru-RU"/>
        </w:rPr>
        <w:t xml:space="preserve"> з </w:t>
      </w:r>
      <w:proofErr w:type="spellStart"/>
      <w:r w:rsidRPr="000D167D">
        <w:rPr>
          <w:rFonts w:ascii="Times New Roman" w:hAnsi="Times New Roman"/>
          <w:lang w:val="ru-RU"/>
        </w:rPr>
        <w:t>попередніми</w:t>
      </w:r>
      <w:proofErr w:type="spellEnd"/>
      <w:r w:rsidRPr="000D167D">
        <w:rPr>
          <w:rFonts w:ascii="Times New Roman" w:hAnsi="Times New Roman"/>
          <w:lang w:val="ru-RU"/>
        </w:rPr>
        <w:t xml:space="preserve"> </w:t>
      </w:r>
      <w:proofErr w:type="spellStart"/>
      <w:r w:rsidRPr="000D167D">
        <w:rPr>
          <w:rFonts w:ascii="Times New Roman" w:hAnsi="Times New Roman"/>
          <w:lang w:val="ru-RU"/>
        </w:rPr>
        <w:t>висновками</w:t>
      </w:r>
      <w:proofErr w:type="spellEnd"/>
      <w:r w:rsidRPr="000D167D">
        <w:rPr>
          <w:rFonts w:ascii="Times New Roman" w:hAnsi="Times New Roman"/>
          <w:lang w:val="ru-RU"/>
        </w:rPr>
        <w:t>:</w:t>
      </w:r>
    </w:p>
    <w:p w:rsidR="000D167D" w:rsidRPr="000D167D" w:rsidRDefault="000D167D" w:rsidP="000D167D">
      <w:pPr>
        <w:ind w:left="709" w:hanging="710"/>
        <w:jc w:val="both"/>
        <w:rPr>
          <w:rFonts w:ascii="Times New Roman" w:hAnsi="Times New Roman"/>
          <w:lang w:val="ru-RU"/>
        </w:rPr>
      </w:pPr>
      <w:r w:rsidRPr="000D167D">
        <w:rPr>
          <w:rFonts w:ascii="Times New Roman" w:hAnsi="Times New Roman"/>
          <w:lang w:val="ru-RU"/>
        </w:rPr>
        <w:t>•</w:t>
      </w:r>
      <w:r w:rsidRPr="000D167D">
        <w:rPr>
          <w:rFonts w:ascii="Times New Roman" w:hAnsi="Times New Roman"/>
          <w:lang w:val="ru-RU"/>
        </w:rPr>
        <w:tab/>
      </w:r>
      <w:proofErr w:type="gramStart"/>
      <w:r w:rsidRPr="000D167D">
        <w:rPr>
          <w:rFonts w:ascii="Times New Roman" w:hAnsi="Times New Roman"/>
          <w:lang w:val="ru-RU"/>
        </w:rPr>
        <w:t>ТОВ</w:t>
      </w:r>
      <w:proofErr w:type="gramEnd"/>
      <w:r w:rsidRPr="000D167D">
        <w:rPr>
          <w:rFonts w:ascii="Times New Roman" w:hAnsi="Times New Roman"/>
          <w:lang w:val="ru-RU"/>
        </w:rPr>
        <w:t xml:space="preserve"> «</w:t>
      </w:r>
      <w:proofErr w:type="spellStart"/>
      <w:r w:rsidRPr="000D167D">
        <w:rPr>
          <w:rFonts w:ascii="Times New Roman" w:hAnsi="Times New Roman"/>
          <w:lang w:val="ru-RU"/>
        </w:rPr>
        <w:t>Фінансова</w:t>
      </w:r>
      <w:proofErr w:type="spellEnd"/>
      <w:r w:rsidRPr="000D167D">
        <w:rPr>
          <w:rFonts w:ascii="Times New Roman" w:hAnsi="Times New Roman"/>
          <w:lang w:val="ru-RU"/>
        </w:rPr>
        <w:t xml:space="preserve"> </w:t>
      </w:r>
      <w:proofErr w:type="spellStart"/>
      <w:r w:rsidRPr="000D167D">
        <w:rPr>
          <w:rFonts w:ascii="Times New Roman" w:hAnsi="Times New Roman"/>
          <w:lang w:val="ru-RU"/>
        </w:rPr>
        <w:t>компанія</w:t>
      </w:r>
      <w:proofErr w:type="spellEnd"/>
      <w:r w:rsidRPr="000D167D">
        <w:rPr>
          <w:rFonts w:ascii="Times New Roman" w:hAnsi="Times New Roman"/>
          <w:lang w:val="ru-RU"/>
        </w:rPr>
        <w:t xml:space="preserve"> «Сократ» (</w:t>
      </w:r>
      <w:proofErr w:type="spellStart"/>
      <w:r w:rsidRPr="000D167D">
        <w:rPr>
          <w:rFonts w:ascii="Times New Roman" w:hAnsi="Times New Roman"/>
          <w:lang w:val="ru-RU"/>
        </w:rPr>
        <w:t>далі</w:t>
      </w:r>
      <w:proofErr w:type="spellEnd"/>
      <w:r w:rsidRPr="000D167D">
        <w:rPr>
          <w:rFonts w:ascii="Times New Roman" w:hAnsi="Times New Roman"/>
          <w:lang w:val="ru-RU"/>
        </w:rPr>
        <w:t xml:space="preserve"> – ТОВ «ФК «Сократ») </w:t>
      </w:r>
      <w:r w:rsidR="003F4EBE">
        <w:rPr>
          <w:rFonts w:ascii="Times New Roman" w:hAnsi="Times New Roman"/>
          <w:lang w:val="ru-RU"/>
        </w:rPr>
        <w:t>–</w:t>
      </w:r>
      <w:r w:rsidRPr="000D167D">
        <w:rPr>
          <w:rFonts w:ascii="Times New Roman" w:hAnsi="Times New Roman"/>
          <w:lang w:val="ru-RU"/>
        </w:rPr>
        <w:t xml:space="preserve"> 18.11.2020;</w:t>
      </w:r>
    </w:p>
    <w:p w:rsidR="000D167D" w:rsidRPr="000D167D" w:rsidRDefault="000D167D" w:rsidP="000D167D">
      <w:pPr>
        <w:ind w:left="709" w:hanging="710"/>
        <w:jc w:val="both"/>
        <w:rPr>
          <w:rFonts w:ascii="Times New Roman" w:hAnsi="Times New Roman"/>
          <w:lang w:val="ru-RU"/>
        </w:rPr>
      </w:pPr>
      <w:r w:rsidRPr="000D167D">
        <w:rPr>
          <w:rFonts w:ascii="Times New Roman" w:hAnsi="Times New Roman"/>
          <w:lang w:val="ru-RU"/>
        </w:rPr>
        <w:t>•</w:t>
      </w:r>
      <w:r w:rsidRPr="000D167D">
        <w:rPr>
          <w:rFonts w:ascii="Times New Roman" w:hAnsi="Times New Roman"/>
          <w:lang w:val="ru-RU"/>
        </w:rPr>
        <w:tab/>
        <w:t>ПАТ «</w:t>
      </w:r>
      <w:proofErr w:type="spellStart"/>
      <w:r w:rsidRPr="000D167D">
        <w:rPr>
          <w:rFonts w:ascii="Times New Roman" w:hAnsi="Times New Roman"/>
          <w:lang w:val="ru-RU"/>
        </w:rPr>
        <w:t>Розрахунковий</w:t>
      </w:r>
      <w:proofErr w:type="spellEnd"/>
      <w:r w:rsidRPr="000D167D">
        <w:rPr>
          <w:rFonts w:ascii="Times New Roman" w:hAnsi="Times New Roman"/>
          <w:lang w:val="ru-RU"/>
        </w:rPr>
        <w:t xml:space="preserve"> центр» </w:t>
      </w:r>
      <w:r w:rsidR="003F4EBE">
        <w:rPr>
          <w:rFonts w:ascii="Times New Roman" w:hAnsi="Times New Roman"/>
          <w:lang w:val="ru-RU"/>
        </w:rPr>
        <w:t>–</w:t>
      </w:r>
      <w:r w:rsidRPr="000D167D">
        <w:rPr>
          <w:rFonts w:ascii="Times New Roman" w:hAnsi="Times New Roman"/>
          <w:lang w:val="ru-RU"/>
        </w:rPr>
        <w:t xml:space="preserve"> 19.11.2020; </w:t>
      </w:r>
    </w:p>
    <w:p w:rsidR="000D167D" w:rsidRPr="000D167D" w:rsidRDefault="000D167D" w:rsidP="000D167D">
      <w:pPr>
        <w:ind w:left="709" w:hanging="710"/>
        <w:jc w:val="both"/>
        <w:rPr>
          <w:rFonts w:ascii="Times New Roman" w:hAnsi="Times New Roman"/>
          <w:lang w:val="ru-RU"/>
        </w:rPr>
      </w:pPr>
      <w:r w:rsidRPr="000D167D">
        <w:rPr>
          <w:rFonts w:ascii="Times New Roman" w:hAnsi="Times New Roman"/>
          <w:lang w:val="ru-RU"/>
        </w:rPr>
        <w:t>•</w:t>
      </w:r>
      <w:r w:rsidRPr="000D167D">
        <w:rPr>
          <w:rFonts w:ascii="Times New Roman" w:hAnsi="Times New Roman"/>
          <w:lang w:val="ru-RU"/>
        </w:rPr>
        <w:tab/>
      </w:r>
      <w:proofErr w:type="gramStart"/>
      <w:r w:rsidRPr="000D167D">
        <w:rPr>
          <w:rFonts w:ascii="Times New Roman" w:hAnsi="Times New Roman"/>
          <w:lang w:val="ru-RU"/>
        </w:rPr>
        <w:t>ТОВ</w:t>
      </w:r>
      <w:proofErr w:type="gramEnd"/>
      <w:r w:rsidRPr="000D167D">
        <w:rPr>
          <w:rFonts w:ascii="Times New Roman" w:hAnsi="Times New Roman"/>
          <w:lang w:val="ru-RU"/>
        </w:rPr>
        <w:t xml:space="preserve"> «</w:t>
      </w:r>
      <w:proofErr w:type="spellStart"/>
      <w:r w:rsidRPr="000D167D">
        <w:rPr>
          <w:rFonts w:ascii="Times New Roman" w:hAnsi="Times New Roman"/>
          <w:lang w:val="ru-RU"/>
        </w:rPr>
        <w:t>Навігатор-Інвест</w:t>
      </w:r>
      <w:proofErr w:type="spellEnd"/>
      <w:r w:rsidRPr="000D167D">
        <w:rPr>
          <w:rFonts w:ascii="Times New Roman" w:hAnsi="Times New Roman"/>
          <w:lang w:val="ru-RU"/>
        </w:rPr>
        <w:t xml:space="preserve">» </w:t>
      </w:r>
      <w:r w:rsidR="003F4EBE">
        <w:rPr>
          <w:rFonts w:ascii="Times New Roman" w:hAnsi="Times New Roman"/>
          <w:lang w:val="ru-RU"/>
        </w:rPr>
        <w:t>–</w:t>
      </w:r>
      <w:r w:rsidRPr="000D167D">
        <w:rPr>
          <w:rFonts w:ascii="Times New Roman" w:hAnsi="Times New Roman"/>
          <w:lang w:val="ru-RU"/>
        </w:rPr>
        <w:t xml:space="preserve"> 20.11.2020;</w:t>
      </w:r>
    </w:p>
    <w:p w:rsidR="000D167D" w:rsidRPr="000D167D" w:rsidRDefault="000D167D" w:rsidP="000D167D">
      <w:pPr>
        <w:ind w:left="709" w:hanging="710"/>
        <w:jc w:val="both"/>
        <w:rPr>
          <w:rFonts w:ascii="Times New Roman" w:hAnsi="Times New Roman"/>
          <w:lang w:val="ru-RU"/>
        </w:rPr>
      </w:pPr>
      <w:r w:rsidRPr="000D167D">
        <w:rPr>
          <w:rFonts w:ascii="Times New Roman" w:hAnsi="Times New Roman"/>
          <w:lang w:val="ru-RU"/>
        </w:rPr>
        <w:t>•</w:t>
      </w:r>
      <w:r w:rsidRPr="000D167D">
        <w:rPr>
          <w:rFonts w:ascii="Times New Roman" w:hAnsi="Times New Roman"/>
          <w:lang w:val="ru-RU"/>
        </w:rPr>
        <w:tab/>
      </w:r>
      <w:proofErr w:type="gramStart"/>
      <w:r w:rsidRPr="000D167D">
        <w:rPr>
          <w:rFonts w:ascii="Times New Roman" w:hAnsi="Times New Roman"/>
          <w:lang w:val="ru-RU"/>
        </w:rPr>
        <w:t>ТОВ</w:t>
      </w:r>
      <w:proofErr w:type="gramEnd"/>
      <w:r w:rsidRPr="000D167D">
        <w:rPr>
          <w:rFonts w:ascii="Times New Roman" w:hAnsi="Times New Roman"/>
          <w:lang w:val="ru-RU"/>
        </w:rPr>
        <w:t xml:space="preserve"> «Акцептор» </w:t>
      </w:r>
      <w:r w:rsidR="003F4EBE">
        <w:rPr>
          <w:rFonts w:ascii="Times New Roman" w:hAnsi="Times New Roman"/>
          <w:lang w:val="ru-RU"/>
        </w:rPr>
        <w:t>–</w:t>
      </w:r>
      <w:r w:rsidRPr="000D167D">
        <w:rPr>
          <w:rFonts w:ascii="Times New Roman" w:hAnsi="Times New Roman"/>
          <w:lang w:val="ru-RU"/>
        </w:rPr>
        <w:t xml:space="preserve"> 25.11.2020.</w:t>
      </w:r>
    </w:p>
    <w:p w:rsidR="000D167D" w:rsidRPr="000D167D" w:rsidRDefault="009A5055" w:rsidP="000D167D">
      <w:pPr>
        <w:ind w:left="709" w:hanging="710"/>
        <w:jc w:val="both"/>
        <w:rPr>
          <w:rFonts w:ascii="Times New Roman" w:hAnsi="Times New Roman"/>
          <w:lang w:val="ru-RU"/>
        </w:rPr>
      </w:pPr>
      <w:r>
        <w:rPr>
          <w:rFonts w:ascii="Times New Roman" w:hAnsi="Times New Roman"/>
          <w:lang w:val="ru-RU"/>
        </w:rPr>
        <w:t>(72</w:t>
      </w:r>
      <w:r w:rsidR="000D167D" w:rsidRPr="000D167D">
        <w:rPr>
          <w:rFonts w:ascii="Times New Roman" w:hAnsi="Times New Roman"/>
          <w:lang w:val="ru-RU"/>
        </w:rPr>
        <w:t>)</w:t>
      </w:r>
      <w:r w:rsidR="000D167D" w:rsidRPr="000D167D">
        <w:rPr>
          <w:rFonts w:ascii="Times New Roman" w:hAnsi="Times New Roman"/>
          <w:lang w:val="ru-RU"/>
        </w:rPr>
        <w:tab/>
        <w:t xml:space="preserve">ТОВ «ФК «Сократ» листом </w:t>
      </w:r>
      <w:proofErr w:type="spellStart"/>
      <w:r w:rsidR="000D167D" w:rsidRPr="000D167D">
        <w:rPr>
          <w:rFonts w:ascii="Times New Roman" w:hAnsi="Times New Roman"/>
          <w:lang w:val="ru-RU"/>
        </w:rPr>
        <w:t>від</w:t>
      </w:r>
      <w:proofErr w:type="spellEnd"/>
      <w:r w:rsidR="000D167D" w:rsidRPr="000D167D">
        <w:rPr>
          <w:rFonts w:ascii="Times New Roman" w:hAnsi="Times New Roman"/>
          <w:lang w:val="ru-RU"/>
        </w:rPr>
        <w:t xml:space="preserve"> 30.11.2020 № 97 (</w:t>
      </w:r>
      <w:proofErr w:type="spellStart"/>
      <w:r w:rsidR="000D167D" w:rsidRPr="000D167D">
        <w:rPr>
          <w:rFonts w:ascii="Times New Roman" w:hAnsi="Times New Roman"/>
          <w:lang w:val="ru-RU"/>
        </w:rPr>
        <w:t>вх</w:t>
      </w:r>
      <w:proofErr w:type="spellEnd"/>
      <w:r w:rsidR="000D167D" w:rsidRPr="000D167D">
        <w:rPr>
          <w:rFonts w:ascii="Times New Roman" w:hAnsi="Times New Roman"/>
          <w:lang w:val="ru-RU"/>
        </w:rPr>
        <w:t xml:space="preserve">. № 8-01/15837 </w:t>
      </w:r>
      <w:proofErr w:type="spellStart"/>
      <w:r w:rsidR="000D167D" w:rsidRPr="000D167D">
        <w:rPr>
          <w:rFonts w:ascii="Times New Roman" w:hAnsi="Times New Roman"/>
          <w:lang w:val="ru-RU"/>
        </w:rPr>
        <w:t>від</w:t>
      </w:r>
      <w:proofErr w:type="spellEnd"/>
      <w:r w:rsidR="000D167D" w:rsidRPr="000D167D">
        <w:rPr>
          <w:rFonts w:ascii="Times New Roman" w:hAnsi="Times New Roman"/>
          <w:lang w:val="ru-RU"/>
        </w:rPr>
        <w:t xml:space="preserve"> 02.12.2020) </w:t>
      </w:r>
      <w:proofErr w:type="spellStart"/>
      <w:r w:rsidR="000D167D" w:rsidRPr="000D167D">
        <w:rPr>
          <w:rFonts w:ascii="Times New Roman" w:hAnsi="Times New Roman"/>
          <w:lang w:val="ru-RU"/>
        </w:rPr>
        <w:t>надав</w:t>
      </w:r>
      <w:r w:rsidR="003F4EBE">
        <w:rPr>
          <w:rFonts w:ascii="Times New Roman" w:hAnsi="Times New Roman"/>
          <w:lang w:val="ru-RU"/>
        </w:rPr>
        <w:t>ло</w:t>
      </w:r>
      <w:proofErr w:type="spellEnd"/>
      <w:r w:rsidR="003F4EBE">
        <w:rPr>
          <w:rFonts w:ascii="Times New Roman" w:hAnsi="Times New Roman"/>
          <w:lang w:val="ru-RU"/>
        </w:rPr>
        <w:t xml:space="preserve"> </w:t>
      </w:r>
      <w:proofErr w:type="spellStart"/>
      <w:r w:rsidR="000D167D" w:rsidRPr="000D167D">
        <w:rPr>
          <w:rFonts w:ascii="Times New Roman" w:hAnsi="Times New Roman"/>
          <w:lang w:val="ru-RU"/>
        </w:rPr>
        <w:t>зауваження</w:t>
      </w:r>
      <w:proofErr w:type="spellEnd"/>
      <w:r w:rsidR="000D167D" w:rsidRPr="000D167D">
        <w:rPr>
          <w:rFonts w:ascii="Times New Roman" w:hAnsi="Times New Roman"/>
          <w:lang w:val="ru-RU"/>
        </w:rPr>
        <w:t xml:space="preserve"> до </w:t>
      </w:r>
      <w:proofErr w:type="spellStart"/>
      <w:r w:rsidR="000D167D" w:rsidRPr="000D167D">
        <w:rPr>
          <w:rFonts w:ascii="Times New Roman" w:hAnsi="Times New Roman"/>
          <w:lang w:val="ru-RU"/>
        </w:rPr>
        <w:t>подання</w:t>
      </w:r>
      <w:proofErr w:type="spellEnd"/>
      <w:r w:rsidR="000D167D" w:rsidRPr="000D167D">
        <w:rPr>
          <w:rFonts w:ascii="Times New Roman" w:hAnsi="Times New Roman"/>
          <w:lang w:val="ru-RU"/>
        </w:rPr>
        <w:t xml:space="preserve"> з </w:t>
      </w:r>
      <w:proofErr w:type="spellStart"/>
      <w:r w:rsidR="000D167D" w:rsidRPr="000D167D">
        <w:rPr>
          <w:rFonts w:ascii="Times New Roman" w:hAnsi="Times New Roman"/>
          <w:lang w:val="ru-RU"/>
        </w:rPr>
        <w:t>попередніми</w:t>
      </w:r>
      <w:proofErr w:type="spellEnd"/>
      <w:r w:rsidR="000D167D" w:rsidRPr="000D167D">
        <w:rPr>
          <w:rFonts w:ascii="Times New Roman" w:hAnsi="Times New Roman"/>
          <w:lang w:val="ru-RU"/>
        </w:rPr>
        <w:t xml:space="preserve"> </w:t>
      </w:r>
      <w:proofErr w:type="spellStart"/>
      <w:r w:rsidR="000D167D" w:rsidRPr="000D167D">
        <w:rPr>
          <w:rFonts w:ascii="Times New Roman" w:hAnsi="Times New Roman"/>
          <w:lang w:val="ru-RU"/>
        </w:rPr>
        <w:t>висновками</w:t>
      </w:r>
      <w:proofErr w:type="spellEnd"/>
      <w:r w:rsidR="000D167D" w:rsidRPr="000D167D">
        <w:rPr>
          <w:rFonts w:ascii="Times New Roman" w:hAnsi="Times New Roman"/>
          <w:lang w:val="ru-RU"/>
        </w:rPr>
        <w:t xml:space="preserve">, </w:t>
      </w:r>
      <w:proofErr w:type="spellStart"/>
      <w:r w:rsidR="000D167D" w:rsidRPr="000D167D">
        <w:rPr>
          <w:rFonts w:ascii="Times New Roman" w:hAnsi="Times New Roman"/>
          <w:lang w:val="ru-RU"/>
        </w:rPr>
        <w:t>які</w:t>
      </w:r>
      <w:proofErr w:type="spellEnd"/>
      <w:r w:rsidR="000D167D" w:rsidRPr="000D167D">
        <w:rPr>
          <w:rFonts w:ascii="Times New Roman" w:hAnsi="Times New Roman"/>
          <w:lang w:val="ru-RU"/>
        </w:rPr>
        <w:t xml:space="preserve"> </w:t>
      </w:r>
      <w:proofErr w:type="spellStart"/>
      <w:r w:rsidR="000D167D" w:rsidRPr="000D167D">
        <w:rPr>
          <w:rFonts w:ascii="Times New Roman" w:hAnsi="Times New Roman"/>
          <w:lang w:val="ru-RU"/>
        </w:rPr>
        <w:t>стосувалися</w:t>
      </w:r>
      <w:proofErr w:type="spellEnd"/>
      <w:r w:rsidR="000D167D" w:rsidRPr="000D167D">
        <w:rPr>
          <w:rFonts w:ascii="Times New Roman" w:hAnsi="Times New Roman"/>
          <w:lang w:val="ru-RU"/>
        </w:rPr>
        <w:t xml:space="preserve"> </w:t>
      </w:r>
      <w:proofErr w:type="spellStart"/>
      <w:r w:rsidR="000D167D" w:rsidRPr="000D167D">
        <w:rPr>
          <w:rFonts w:ascii="Times New Roman" w:hAnsi="Times New Roman"/>
          <w:lang w:val="ru-RU"/>
        </w:rPr>
        <w:t>відсутності</w:t>
      </w:r>
      <w:proofErr w:type="spellEnd"/>
      <w:r w:rsidR="000D167D" w:rsidRPr="000D167D">
        <w:rPr>
          <w:rFonts w:ascii="Times New Roman" w:hAnsi="Times New Roman"/>
          <w:lang w:val="ru-RU"/>
        </w:rPr>
        <w:t xml:space="preserve"> </w:t>
      </w:r>
      <w:proofErr w:type="spellStart"/>
      <w:r w:rsidR="000D167D" w:rsidRPr="000D167D">
        <w:rPr>
          <w:rFonts w:ascii="Times New Roman" w:hAnsi="Times New Roman"/>
          <w:lang w:val="ru-RU"/>
        </w:rPr>
        <w:t>аналізу</w:t>
      </w:r>
      <w:proofErr w:type="spellEnd"/>
      <w:r w:rsidR="000D167D" w:rsidRPr="000D167D">
        <w:rPr>
          <w:rFonts w:ascii="Times New Roman" w:hAnsi="Times New Roman"/>
          <w:lang w:val="ru-RU"/>
        </w:rPr>
        <w:t xml:space="preserve"> </w:t>
      </w:r>
      <w:proofErr w:type="spellStart"/>
      <w:r w:rsidR="000D167D" w:rsidRPr="000D167D">
        <w:rPr>
          <w:rFonts w:ascii="Times New Roman" w:hAnsi="Times New Roman"/>
          <w:lang w:val="ru-RU"/>
        </w:rPr>
        <w:t>економічної</w:t>
      </w:r>
      <w:proofErr w:type="spellEnd"/>
      <w:r w:rsidR="000D167D" w:rsidRPr="000D167D">
        <w:rPr>
          <w:rFonts w:ascii="Times New Roman" w:hAnsi="Times New Roman"/>
          <w:lang w:val="ru-RU"/>
        </w:rPr>
        <w:t xml:space="preserve"> </w:t>
      </w:r>
      <w:proofErr w:type="spellStart"/>
      <w:r w:rsidR="000D167D" w:rsidRPr="000D167D">
        <w:rPr>
          <w:rFonts w:ascii="Times New Roman" w:hAnsi="Times New Roman"/>
          <w:lang w:val="ru-RU"/>
        </w:rPr>
        <w:t>обґрунтованості</w:t>
      </w:r>
      <w:proofErr w:type="spellEnd"/>
      <w:r w:rsidR="000D167D" w:rsidRPr="000D167D">
        <w:rPr>
          <w:rFonts w:ascii="Times New Roman" w:hAnsi="Times New Roman"/>
          <w:lang w:val="ru-RU"/>
        </w:rPr>
        <w:t xml:space="preserve"> </w:t>
      </w:r>
      <w:proofErr w:type="spellStart"/>
      <w:r w:rsidR="000D167D" w:rsidRPr="000D167D">
        <w:rPr>
          <w:rFonts w:ascii="Times New Roman" w:hAnsi="Times New Roman"/>
          <w:lang w:val="ru-RU"/>
        </w:rPr>
        <w:t>тарифів</w:t>
      </w:r>
      <w:proofErr w:type="spellEnd"/>
      <w:r w:rsidR="000D167D" w:rsidRPr="000D167D">
        <w:rPr>
          <w:rFonts w:ascii="Times New Roman" w:hAnsi="Times New Roman"/>
          <w:lang w:val="ru-RU"/>
        </w:rPr>
        <w:t xml:space="preserve"> </w:t>
      </w:r>
      <w:proofErr w:type="spellStart"/>
      <w:r w:rsidR="000D167D" w:rsidRPr="000D167D">
        <w:rPr>
          <w:rFonts w:ascii="Times New Roman" w:hAnsi="Times New Roman"/>
          <w:lang w:val="ru-RU"/>
        </w:rPr>
        <w:t>ПАТ«Розрахунковий</w:t>
      </w:r>
      <w:proofErr w:type="spellEnd"/>
      <w:r w:rsidR="000D167D" w:rsidRPr="000D167D">
        <w:rPr>
          <w:rFonts w:ascii="Times New Roman" w:hAnsi="Times New Roman"/>
          <w:lang w:val="ru-RU"/>
        </w:rPr>
        <w:t xml:space="preserve"> центр» на </w:t>
      </w:r>
      <w:proofErr w:type="spellStart"/>
      <w:r w:rsidR="000D167D" w:rsidRPr="000D167D">
        <w:rPr>
          <w:rFonts w:ascii="Times New Roman" w:hAnsi="Times New Roman"/>
          <w:lang w:val="ru-RU"/>
        </w:rPr>
        <w:t>послуги</w:t>
      </w:r>
      <w:proofErr w:type="spellEnd"/>
      <w:r w:rsidR="000D167D" w:rsidRPr="000D167D">
        <w:rPr>
          <w:rFonts w:ascii="Times New Roman" w:hAnsi="Times New Roman"/>
          <w:lang w:val="ru-RU"/>
        </w:rPr>
        <w:t xml:space="preserve"> з </w:t>
      </w:r>
      <w:proofErr w:type="spellStart"/>
      <w:r w:rsidR="000D167D" w:rsidRPr="000D167D">
        <w:rPr>
          <w:rFonts w:ascii="Times New Roman" w:hAnsi="Times New Roman"/>
          <w:lang w:val="ru-RU"/>
        </w:rPr>
        <w:t>обслуговування</w:t>
      </w:r>
      <w:proofErr w:type="spellEnd"/>
      <w:r w:rsidR="000D167D" w:rsidRPr="000D167D">
        <w:rPr>
          <w:rFonts w:ascii="Times New Roman" w:hAnsi="Times New Roman"/>
          <w:lang w:val="ru-RU"/>
        </w:rPr>
        <w:t xml:space="preserve"> </w:t>
      </w:r>
      <w:proofErr w:type="spellStart"/>
      <w:r w:rsidR="000D167D" w:rsidRPr="000D167D">
        <w:rPr>
          <w:rFonts w:ascii="Times New Roman" w:hAnsi="Times New Roman"/>
          <w:lang w:val="ru-RU"/>
        </w:rPr>
        <w:t>клірингового</w:t>
      </w:r>
      <w:proofErr w:type="spellEnd"/>
      <w:r w:rsidR="000D167D" w:rsidRPr="000D167D">
        <w:rPr>
          <w:rFonts w:ascii="Times New Roman" w:hAnsi="Times New Roman"/>
          <w:lang w:val="ru-RU"/>
        </w:rPr>
        <w:t xml:space="preserve"> </w:t>
      </w:r>
      <w:proofErr w:type="spellStart"/>
      <w:r w:rsidR="000D167D" w:rsidRPr="000D167D">
        <w:rPr>
          <w:rFonts w:ascii="Times New Roman" w:hAnsi="Times New Roman"/>
          <w:lang w:val="ru-RU"/>
        </w:rPr>
        <w:t>рахунку</w:t>
      </w:r>
      <w:proofErr w:type="spellEnd"/>
      <w:r w:rsidR="000D167D" w:rsidRPr="000D167D">
        <w:rPr>
          <w:rFonts w:ascii="Times New Roman" w:hAnsi="Times New Roman"/>
          <w:lang w:val="ru-RU"/>
        </w:rPr>
        <w:t xml:space="preserve">, </w:t>
      </w:r>
      <w:proofErr w:type="spellStart"/>
      <w:r w:rsidR="000D167D" w:rsidRPr="000D167D">
        <w:rPr>
          <w:rFonts w:ascii="Times New Roman" w:hAnsi="Times New Roman"/>
          <w:lang w:val="ru-RU"/>
        </w:rPr>
        <w:t>що</w:t>
      </w:r>
      <w:proofErr w:type="spellEnd"/>
      <w:r w:rsidR="000D167D" w:rsidRPr="000D167D">
        <w:rPr>
          <w:rFonts w:ascii="Times New Roman" w:hAnsi="Times New Roman"/>
          <w:lang w:val="ru-RU"/>
        </w:rPr>
        <w:t xml:space="preserve"> </w:t>
      </w:r>
      <w:proofErr w:type="gramStart"/>
      <w:r w:rsidR="000D167D" w:rsidRPr="000D167D">
        <w:rPr>
          <w:rFonts w:ascii="Times New Roman" w:hAnsi="Times New Roman"/>
          <w:lang w:val="ru-RU"/>
        </w:rPr>
        <w:t>могло</w:t>
      </w:r>
      <w:proofErr w:type="gramEnd"/>
      <w:r w:rsidR="000D167D" w:rsidRPr="000D167D">
        <w:rPr>
          <w:rFonts w:ascii="Times New Roman" w:hAnsi="Times New Roman"/>
          <w:lang w:val="ru-RU"/>
        </w:rPr>
        <w:t xml:space="preserve"> бути </w:t>
      </w:r>
      <w:proofErr w:type="spellStart"/>
      <w:r w:rsidR="000D167D" w:rsidRPr="000D167D">
        <w:rPr>
          <w:rFonts w:ascii="Times New Roman" w:hAnsi="Times New Roman"/>
          <w:lang w:val="ru-RU"/>
        </w:rPr>
        <w:t>перешкодою</w:t>
      </w:r>
      <w:proofErr w:type="spellEnd"/>
      <w:r w:rsidR="000D167D" w:rsidRPr="000D167D">
        <w:rPr>
          <w:rFonts w:ascii="Times New Roman" w:hAnsi="Times New Roman"/>
          <w:lang w:val="ru-RU"/>
        </w:rPr>
        <w:t xml:space="preserve"> для </w:t>
      </w:r>
      <w:proofErr w:type="spellStart"/>
      <w:r w:rsidR="000D167D" w:rsidRPr="000D167D">
        <w:rPr>
          <w:rFonts w:ascii="Times New Roman" w:hAnsi="Times New Roman"/>
          <w:lang w:val="ru-RU"/>
        </w:rPr>
        <w:t>встановлення</w:t>
      </w:r>
      <w:proofErr w:type="spellEnd"/>
      <w:r w:rsidR="000D167D" w:rsidRPr="000D167D">
        <w:rPr>
          <w:rFonts w:ascii="Times New Roman" w:hAnsi="Times New Roman"/>
          <w:lang w:val="ru-RU"/>
        </w:rPr>
        <w:t xml:space="preserve"> </w:t>
      </w:r>
      <w:proofErr w:type="spellStart"/>
      <w:r w:rsidR="000D167D" w:rsidRPr="000D167D">
        <w:rPr>
          <w:rFonts w:ascii="Times New Roman" w:hAnsi="Times New Roman"/>
          <w:lang w:val="ru-RU"/>
        </w:rPr>
        <w:t>наявності</w:t>
      </w:r>
      <w:proofErr w:type="spellEnd"/>
      <w:r w:rsidR="000D167D" w:rsidRPr="000D167D">
        <w:rPr>
          <w:rFonts w:ascii="Times New Roman" w:hAnsi="Times New Roman"/>
          <w:lang w:val="ru-RU"/>
        </w:rPr>
        <w:t>/</w:t>
      </w:r>
      <w:proofErr w:type="spellStart"/>
      <w:r w:rsidR="000D167D" w:rsidRPr="000D167D">
        <w:rPr>
          <w:rFonts w:ascii="Times New Roman" w:hAnsi="Times New Roman"/>
          <w:lang w:val="ru-RU"/>
        </w:rPr>
        <w:t>відсутності</w:t>
      </w:r>
      <w:proofErr w:type="spellEnd"/>
      <w:r w:rsidR="000D167D" w:rsidRPr="000D167D">
        <w:rPr>
          <w:rFonts w:ascii="Times New Roman" w:hAnsi="Times New Roman"/>
          <w:lang w:val="ru-RU"/>
        </w:rPr>
        <w:t xml:space="preserve"> </w:t>
      </w:r>
      <w:proofErr w:type="spellStart"/>
      <w:r w:rsidR="000D167D" w:rsidRPr="000D167D">
        <w:rPr>
          <w:rFonts w:ascii="Times New Roman" w:hAnsi="Times New Roman"/>
          <w:lang w:val="ru-RU"/>
        </w:rPr>
        <w:t>збитків</w:t>
      </w:r>
      <w:proofErr w:type="spellEnd"/>
      <w:r w:rsidR="000D167D" w:rsidRPr="000D167D">
        <w:rPr>
          <w:rFonts w:ascii="Times New Roman" w:hAnsi="Times New Roman"/>
          <w:lang w:val="ru-RU"/>
        </w:rPr>
        <w:t xml:space="preserve"> </w:t>
      </w:r>
      <w:proofErr w:type="spellStart"/>
      <w:r w:rsidR="000D167D" w:rsidRPr="000D167D">
        <w:rPr>
          <w:rFonts w:ascii="Times New Roman" w:hAnsi="Times New Roman"/>
          <w:lang w:val="ru-RU"/>
        </w:rPr>
        <w:t>завданних</w:t>
      </w:r>
      <w:proofErr w:type="spellEnd"/>
      <w:r w:rsidR="000D167D" w:rsidRPr="000D167D">
        <w:rPr>
          <w:rFonts w:ascii="Times New Roman" w:hAnsi="Times New Roman"/>
          <w:lang w:val="ru-RU"/>
        </w:rPr>
        <w:t xml:space="preserve"> </w:t>
      </w:r>
      <w:proofErr w:type="spellStart"/>
      <w:r w:rsidR="000D167D" w:rsidRPr="000D167D">
        <w:rPr>
          <w:rFonts w:ascii="Times New Roman" w:hAnsi="Times New Roman"/>
          <w:lang w:val="ru-RU"/>
        </w:rPr>
        <w:t>порушенням</w:t>
      </w:r>
      <w:proofErr w:type="spellEnd"/>
      <w:r w:rsidR="000D167D" w:rsidRPr="000D167D">
        <w:rPr>
          <w:rFonts w:ascii="Times New Roman" w:hAnsi="Times New Roman"/>
          <w:lang w:val="ru-RU"/>
        </w:rPr>
        <w:t>.</w:t>
      </w:r>
    </w:p>
    <w:p w:rsidR="000D167D" w:rsidRDefault="009A5055" w:rsidP="000D167D">
      <w:pPr>
        <w:ind w:left="709" w:hanging="710"/>
        <w:jc w:val="both"/>
        <w:rPr>
          <w:rFonts w:ascii="Times New Roman" w:hAnsi="Times New Roman"/>
          <w:iCs/>
        </w:rPr>
      </w:pPr>
      <w:r>
        <w:rPr>
          <w:rFonts w:ascii="Times New Roman" w:hAnsi="Times New Roman"/>
          <w:bCs/>
          <w:iCs/>
        </w:rPr>
        <w:t>(73</w:t>
      </w:r>
      <w:r w:rsidR="000D167D" w:rsidRPr="000D167D">
        <w:rPr>
          <w:rFonts w:ascii="Times New Roman" w:hAnsi="Times New Roman"/>
          <w:bCs/>
          <w:iCs/>
        </w:rPr>
        <w:t>)</w:t>
      </w:r>
      <w:r w:rsidR="000D167D" w:rsidRPr="000D167D">
        <w:rPr>
          <w:rFonts w:ascii="Times New Roman" w:hAnsi="Times New Roman"/>
          <w:bCs/>
          <w:iCs/>
        </w:rPr>
        <w:tab/>
      </w:r>
      <w:r w:rsidR="000D167D" w:rsidRPr="000D167D">
        <w:rPr>
          <w:rFonts w:ascii="Times New Roman" w:hAnsi="Times New Roman"/>
          <w:iCs/>
        </w:rPr>
        <w:t>Заз</w:t>
      </w:r>
      <w:r>
        <w:rPr>
          <w:rFonts w:ascii="Times New Roman" w:hAnsi="Times New Roman"/>
          <w:iCs/>
        </w:rPr>
        <w:t xml:space="preserve">начене спростовується матеріалами справи, що викладено </w:t>
      </w:r>
      <w:r w:rsidR="003F4EBE">
        <w:rPr>
          <w:rFonts w:ascii="Times New Roman" w:hAnsi="Times New Roman"/>
          <w:iCs/>
        </w:rPr>
        <w:t>в</w:t>
      </w:r>
      <w:r>
        <w:rPr>
          <w:rFonts w:ascii="Times New Roman" w:hAnsi="Times New Roman"/>
          <w:iCs/>
        </w:rPr>
        <w:t xml:space="preserve"> пунктах 32 – 3</w:t>
      </w:r>
      <w:r w:rsidR="003D4E66">
        <w:rPr>
          <w:rFonts w:ascii="Times New Roman" w:hAnsi="Times New Roman"/>
          <w:iCs/>
        </w:rPr>
        <w:t>5</w:t>
      </w:r>
      <w:r>
        <w:rPr>
          <w:rFonts w:ascii="Times New Roman" w:hAnsi="Times New Roman"/>
          <w:iCs/>
        </w:rPr>
        <w:t xml:space="preserve"> розділу 6 цього рішення.</w:t>
      </w:r>
    </w:p>
    <w:p w:rsidR="000D167D" w:rsidRPr="009A5055" w:rsidRDefault="003D4E66" w:rsidP="003D4E66">
      <w:pPr>
        <w:ind w:left="709" w:hanging="709"/>
        <w:jc w:val="both"/>
        <w:rPr>
          <w:rFonts w:ascii="Times New Roman" w:hAnsi="Times New Roman"/>
          <w:bCs/>
          <w:iCs/>
        </w:rPr>
      </w:pPr>
      <w:r>
        <w:rPr>
          <w:rFonts w:ascii="Times New Roman" w:hAnsi="Times New Roman"/>
          <w:iCs/>
        </w:rPr>
        <w:t xml:space="preserve">(74)  </w:t>
      </w:r>
      <w:r w:rsidR="003F4EBE">
        <w:rPr>
          <w:rFonts w:ascii="Times New Roman" w:hAnsi="Times New Roman"/>
          <w:iCs/>
        </w:rPr>
        <w:t xml:space="preserve"> </w:t>
      </w:r>
      <w:r w:rsidR="009A5055" w:rsidRPr="009A5055">
        <w:rPr>
          <w:rFonts w:ascii="Times New Roman" w:hAnsi="Times New Roman"/>
          <w:iCs/>
        </w:rPr>
        <w:t xml:space="preserve">Разом </w:t>
      </w:r>
      <w:r w:rsidR="003F4EBE">
        <w:rPr>
          <w:rFonts w:ascii="Times New Roman" w:hAnsi="Times New Roman"/>
          <w:iCs/>
        </w:rPr>
        <w:t>і</w:t>
      </w:r>
      <w:r w:rsidR="009A5055" w:rsidRPr="009A5055">
        <w:rPr>
          <w:rFonts w:ascii="Times New Roman" w:hAnsi="Times New Roman"/>
          <w:iCs/>
        </w:rPr>
        <w:t xml:space="preserve">з тим предметом подальшого розслідування у справі були дії </w:t>
      </w:r>
      <w:r w:rsidR="000B65B3">
        <w:rPr>
          <w:rFonts w:ascii="Times New Roman" w:hAnsi="Times New Roman"/>
          <w:iCs/>
        </w:rPr>
        <w:t>в</w:t>
      </w:r>
      <w:r w:rsidR="000D167D" w:rsidRPr="009A5055">
        <w:rPr>
          <w:rFonts w:ascii="Times New Roman" w:hAnsi="Times New Roman"/>
          <w:iCs/>
        </w:rPr>
        <w:t>ідповідача з</w:t>
      </w:r>
      <w:r w:rsidR="000B65B3">
        <w:rPr>
          <w:rFonts w:ascii="Times New Roman" w:hAnsi="Times New Roman"/>
          <w:iCs/>
        </w:rPr>
        <w:t>і</w:t>
      </w:r>
      <w:r w:rsidR="000D167D" w:rsidRPr="009A5055">
        <w:rPr>
          <w:rFonts w:ascii="Times New Roman" w:hAnsi="Times New Roman"/>
          <w:iCs/>
        </w:rPr>
        <w:t xml:space="preserve"> встановлення вартості клірингових послуг в один період часу з урахуванням тарифікації окремих операцій, в інший період часу </w:t>
      </w:r>
      <w:r w:rsidR="000B65B3">
        <w:rPr>
          <w:rFonts w:ascii="Times New Roman" w:hAnsi="Times New Roman"/>
          <w:iCs/>
        </w:rPr>
        <w:t xml:space="preserve">– </w:t>
      </w:r>
      <w:r w:rsidR="000D167D" w:rsidRPr="009A5055">
        <w:rPr>
          <w:rFonts w:ascii="Times New Roman" w:hAnsi="Times New Roman"/>
          <w:iCs/>
        </w:rPr>
        <w:t xml:space="preserve">без такої тарифікації,  встановлення для однієї групи клієнтів вартості окремої операції – 300 грн, для іншої групи – </w:t>
      </w:r>
      <w:r w:rsidR="000B65B3">
        <w:rPr>
          <w:rFonts w:ascii="Times New Roman" w:hAnsi="Times New Roman"/>
          <w:iCs/>
        </w:rPr>
        <w:t>одна</w:t>
      </w:r>
      <w:r w:rsidR="000D167D" w:rsidRPr="009A5055">
        <w:rPr>
          <w:rFonts w:ascii="Times New Roman" w:hAnsi="Times New Roman"/>
          <w:iCs/>
        </w:rPr>
        <w:t xml:space="preserve"> грн, </w:t>
      </w:r>
      <w:r w:rsidR="00115DC7">
        <w:rPr>
          <w:rFonts w:ascii="Times New Roman" w:hAnsi="Times New Roman"/>
          <w:iCs/>
        </w:rPr>
        <w:t xml:space="preserve">тобто зміна умов надання послуг, </w:t>
      </w:r>
      <w:r w:rsidR="009A5055">
        <w:rPr>
          <w:rFonts w:ascii="Times New Roman" w:hAnsi="Times New Roman"/>
          <w:iCs/>
        </w:rPr>
        <w:t xml:space="preserve">що </w:t>
      </w:r>
      <w:r w:rsidR="000D167D" w:rsidRPr="009A5055">
        <w:rPr>
          <w:rFonts w:ascii="Times New Roman" w:hAnsi="Times New Roman"/>
          <w:iCs/>
        </w:rPr>
        <w:t>мал</w:t>
      </w:r>
      <w:r w:rsidR="00115DC7">
        <w:rPr>
          <w:rFonts w:ascii="Times New Roman" w:hAnsi="Times New Roman"/>
          <w:iCs/>
        </w:rPr>
        <w:t>о</w:t>
      </w:r>
      <w:r w:rsidR="000D167D" w:rsidRPr="009A5055">
        <w:rPr>
          <w:rFonts w:ascii="Times New Roman" w:hAnsi="Times New Roman"/>
          <w:iCs/>
        </w:rPr>
        <w:t xml:space="preserve"> ознаки зловживання монопольним (домінуючим) становищем. </w:t>
      </w:r>
    </w:p>
    <w:p w:rsidR="000D167D" w:rsidRPr="000D167D" w:rsidRDefault="000D167D" w:rsidP="000D167D">
      <w:pPr>
        <w:pStyle w:val="-11"/>
        <w:numPr>
          <w:ilvl w:val="0"/>
          <w:numId w:val="0"/>
        </w:numPr>
        <w:tabs>
          <w:tab w:val="left" w:pos="709"/>
        </w:tabs>
        <w:spacing w:before="0" w:after="0" w:line="240" w:lineRule="atLeast"/>
        <w:ind w:left="709"/>
        <w:rPr>
          <w:bCs w:val="0"/>
          <w:iCs/>
        </w:rPr>
      </w:pPr>
      <w:r w:rsidRPr="000D167D">
        <w:rPr>
          <w:bCs w:val="0"/>
          <w:iCs/>
        </w:rPr>
        <w:t>Наданням Рекомендацій Комітет мав на меті, зокрема</w:t>
      </w:r>
      <w:r w:rsidR="000B65B3">
        <w:rPr>
          <w:bCs w:val="0"/>
          <w:iCs/>
        </w:rPr>
        <w:t>,</w:t>
      </w:r>
      <w:r w:rsidRPr="000D167D">
        <w:rPr>
          <w:bCs w:val="0"/>
          <w:iCs/>
        </w:rPr>
        <w:t xml:space="preserve"> приведення процесу формування вартості клірингових послуг до прийнятного (професійними учасниками ринку – споживачами цих послуг) алгоритму та залучення учасників ринку до процесу запровадження нових тарифів та/або зміни </w:t>
      </w:r>
      <w:r w:rsidR="0092323D">
        <w:rPr>
          <w:bCs w:val="0"/>
          <w:iCs/>
        </w:rPr>
        <w:t>чинних</w:t>
      </w:r>
      <w:r w:rsidRPr="000D167D">
        <w:rPr>
          <w:bCs w:val="0"/>
          <w:iCs/>
        </w:rPr>
        <w:t>.</w:t>
      </w:r>
    </w:p>
    <w:p w:rsidR="000D167D" w:rsidRDefault="000D167D" w:rsidP="000D167D">
      <w:pPr>
        <w:pStyle w:val="-11"/>
        <w:numPr>
          <w:ilvl w:val="0"/>
          <w:numId w:val="0"/>
        </w:numPr>
        <w:spacing w:before="0" w:after="0" w:line="240" w:lineRule="atLeast"/>
        <w:ind w:left="737"/>
        <w:rPr>
          <w:bCs w:val="0"/>
          <w:iCs/>
        </w:rPr>
      </w:pPr>
      <w:r w:rsidRPr="000D167D">
        <w:rPr>
          <w:bCs w:val="0"/>
          <w:iCs/>
        </w:rPr>
        <w:t>Участь учасників ринку у процесі запровадження нової послуги ПАТ «Розрахунковий центр» у 2020 році дає підстави для висновку про досягнення мети Рекомендацій.</w:t>
      </w:r>
    </w:p>
    <w:p w:rsidR="009A5055" w:rsidRDefault="009A5055" w:rsidP="000D167D">
      <w:pPr>
        <w:pStyle w:val="-11"/>
        <w:numPr>
          <w:ilvl w:val="0"/>
          <w:numId w:val="0"/>
        </w:numPr>
        <w:spacing w:before="0" w:after="0" w:line="240" w:lineRule="atLeast"/>
        <w:ind w:left="737"/>
        <w:rPr>
          <w:bCs w:val="0"/>
          <w:iCs/>
        </w:rPr>
      </w:pPr>
    </w:p>
    <w:p w:rsidR="009A5055" w:rsidRDefault="009A5055" w:rsidP="00B85B96">
      <w:pPr>
        <w:pStyle w:val="-11"/>
        <w:numPr>
          <w:ilvl w:val="0"/>
          <w:numId w:val="0"/>
        </w:numPr>
        <w:spacing w:before="0" w:after="0" w:line="240" w:lineRule="atLeast"/>
        <w:ind w:left="851" w:hanging="709"/>
        <w:rPr>
          <w:b/>
          <w:bCs w:val="0"/>
          <w:iCs/>
        </w:rPr>
      </w:pPr>
      <w:r w:rsidRPr="009A5055">
        <w:rPr>
          <w:b/>
          <w:bCs w:val="0"/>
          <w:iCs/>
        </w:rPr>
        <w:t>9.</w:t>
      </w:r>
      <w:r>
        <w:rPr>
          <w:b/>
          <w:bCs w:val="0"/>
          <w:iCs/>
        </w:rPr>
        <w:t xml:space="preserve">   </w:t>
      </w:r>
      <w:r w:rsidRPr="000D167D">
        <w:rPr>
          <w:b/>
          <w:bCs w:val="0"/>
          <w:iCs/>
        </w:rPr>
        <w:t>ПІДСТАВИ ЗАКРИТТЯ ПРОВАДЖЕННЯ У СПРАВІ ВІДПОВІДНО ДО ЧАСТИНИ ТРЕТЬОЇ СТАТТІ 46 ЗАКОНУ УКРАЇНИ «ПРО ЗАХИСТ ЕКОНОМІЧНОЇ КОНКУРЕНЦІЇ»</w:t>
      </w:r>
    </w:p>
    <w:p w:rsidR="009A5055" w:rsidRPr="000D167D" w:rsidRDefault="009A5055" w:rsidP="009A5055">
      <w:pPr>
        <w:pStyle w:val="-11"/>
        <w:numPr>
          <w:ilvl w:val="0"/>
          <w:numId w:val="0"/>
        </w:numPr>
        <w:spacing w:before="0" w:after="0" w:line="240" w:lineRule="atLeast"/>
        <w:ind w:left="709" w:hanging="709"/>
        <w:rPr>
          <w:b/>
          <w:bCs w:val="0"/>
          <w:iCs/>
        </w:rPr>
      </w:pPr>
      <w:r w:rsidRPr="000D167D">
        <w:rPr>
          <w:b/>
          <w:bCs w:val="0"/>
          <w:iCs/>
        </w:rPr>
        <w:tab/>
      </w:r>
    </w:p>
    <w:p w:rsidR="009A5055" w:rsidRPr="000D167D" w:rsidRDefault="009A5055" w:rsidP="009A5055">
      <w:pPr>
        <w:pStyle w:val="-11"/>
        <w:numPr>
          <w:ilvl w:val="0"/>
          <w:numId w:val="0"/>
        </w:numPr>
        <w:spacing w:before="0" w:after="0" w:line="240" w:lineRule="atLeast"/>
        <w:ind w:left="709" w:hanging="643"/>
        <w:rPr>
          <w:bCs w:val="0"/>
          <w:iCs/>
        </w:rPr>
      </w:pPr>
      <w:r w:rsidRPr="000D167D">
        <w:rPr>
          <w:bCs w:val="0"/>
          <w:iCs/>
        </w:rPr>
        <w:t>(</w:t>
      </w:r>
      <w:r>
        <w:rPr>
          <w:bCs w:val="0"/>
          <w:iCs/>
        </w:rPr>
        <w:t>7</w:t>
      </w:r>
      <w:r w:rsidR="00137E11">
        <w:rPr>
          <w:bCs w:val="0"/>
          <w:iCs/>
        </w:rPr>
        <w:t>5</w:t>
      </w:r>
      <w:r w:rsidRPr="000D167D">
        <w:rPr>
          <w:bCs w:val="0"/>
          <w:iCs/>
        </w:rPr>
        <w:t>)</w:t>
      </w:r>
      <w:r w:rsidRPr="000D167D">
        <w:rPr>
          <w:bCs w:val="0"/>
          <w:iCs/>
        </w:rPr>
        <w:tab/>
        <w:t>Згідно з частиною третьою статті 46 Закону України «Про захист економічної конкуренції» за умови виконання положень рекомендацій у разі, якщо порушення не призвело до суттєвого обмеження чи спотворення конкуренції, не завдало значних збитків окремим особам чи суспільству та вжито відповідних заходів для усунення наслідків порушення, розпочате провадження у справі про порушення законодавства про захист економічної конкуренції закривається.</w:t>
      </w:r>
    </w:p>
    <w:p w:rsidR="009A5055" w:rsidRPr="000D167D" w:rsidRDefault="009A5055" w:rsidP="009A5055">
      <w:pPr>
        <w:pStyle w:val="-11"/>
        <w:numPr>
          <w:ilvl w:val="0"/>
          <w:numId w:val="0"/>
        </w:numPr>
        <w:spacing w:before="0" w:after="0" w:line="240" w:lineRule="atLeast"/>
        <w:ind w:left="709" w:hanging="709"/>
        <w:rPr>
          <w:bCs w:val="0"/>
          <w:iCs/>
        </w:rPr>
      </w:pPr>
      <w:r>
        <w:rPr>
          <w:bCs w:val="0"/>
          <w:iCs/>
        </w:rPr>
        <w:t>(7</w:t>
      </w:r>
      <w:r w:rsidR="00137E11">
        <w:rPr>
          <w:bCs w:val="0"/>
          <w:iCs/>
        </w:rPr>
        <w:t>6</w:t>
      </w:r>
      <w:r w:rsidRPr="000D167D">
        <w:rPr>
          <w:bCs w:val="0"/>
          <w:iCs/>
        </w:rPr>
        <w:t>)</w:t>
      </w:r>
      <w:r w:rsidRPr="000D167D">
        <w:rPr>
          <w:bCs w:val="0"/>
          <w:iCs/>
        </w:rPr>
        <w:tab/>
        <w:t xml:space="preserve">Оцінюючи суттєвість обмеження чи спотворення конкуренції діями Відповідача, які були предметом розгляду справи, </w:t>
      </w:r>
      <w:r w:rsidR="00544A87">
        <w:rPr>
          <w:bCs w:val="0"/>
          <w:iCs/>
        </w:rPr>
        <w:t>Комітет</w:t>
      </w:r>
      <w:r w:rsidRPr="000D167D">
        <w:rPr>
          <w:bCs w:val="0"/>
          <w:iCs/>
        </w:rPr>
        <w:t xml:space="preserve"> виходить з того, що ПАТ «Розрахунковий центр» вже займає монопольне (домінуюче) становище на ринку послуг із клірингового обслуговування на фондовому ринку, тому його дії не призвели до суттєвого обмеження чи спотворення конкуренції.</w:t>
      </w:r>
    </w:p>
    <w:p w:rsidR="009A5055" w:rsidRPr="000D167D" w:rsidRDefault="00137E11" w:rsidP="009A5055">
      <w:pPr>
        <w:pStyle w:val="-11"/>
        <w:numPr>
          <w:ilvl w:val="0"/>
          <w:numId w:val="0"/>
        </w:numPr>
        <w:spacing w:before="0" w:after="0" w:line="240" w:lineRule="atLeast"/>
        <w:ind w:left="709" w:hanging="709"/>
        <w:rPr>
          <w:bCs w:val="0"/>
          <w:iCs/>
        </w:rPr>
      </w:pPr>
      <w:r>
        <w:rPr>
          <w:bCs w:val="0"/>
          <w:iCs/>
        </w:rPr>
        <w:t>(77</w:t>
      </w:r>
      <w:r w:rsidR="009A5055" w:rsidRPr="000D167D">
        <w:rPr>
          <w:bCs w:val="0"/>
          <w:iCs/>
        </w:rPr>
        <w:t>)</w:t>
      </w:r>
      <w:r w:rsidR="009A5055" w:rsidRPr="000D167D">
        <w:rPr>
          <w:bCs w:val="0"/>
          <w:iCs/>
        </w:rPr>
        <w:tab/>
        <w:t>За результатами розслідування не встановлено фактів, які б свідчили, що внаслідок порушення окремим особами чи суспільству було завдано значних збитків.</w:t>
      </w:r>
      <w:r w:rsidR="009A5055" w:rsidRPr="000D167D">
        <w:rPr>
          <w:bCs w:val="0"/>
          <w:iCs/>
        </w:rPr>
        <w:tab/>
      </w:r>
    </w:p>
    <w:p w:rsidR="009A5055" w:rsidRPr="000D167D" w:rsidRDefault="009A5055" w:rsidP="009A5055">
      <w:pPr>
        <w:pStyle w:val="-11"/>
        <w:numPr>
          <w:ilvl w:val="0"/>
          <w:numId w:val="0"/>
        </w:numPr>
        <w:spacing w:before="0" w:after="0" w:line="240" w:lineRule="atLeast"/>
        <w:ind w:left="709"/>
        <w:rPr>
          <w:bCs w:val="0"/>
          <w:iCs/>
        </w:rPr>
      </w:pPr>
      <w:r w:rsidRPr="000D167D">
        <w:rPr>
          <w:bCs w:val="0"/>
          <w:iCs/>
        </w:rPr>
        <w:t xml:space="preserve">Зазначене твердження ґрунтується на тому, що предметом розслідування була відсутність єдності підходів (методик) до </w:t>
      </w:r>
      <w:proofErr w:type="spellStart"/>
      <w:r w:rsidRPr="000D167D">
        <w:rPr>
          <w:bCs w:val="0"/>
          <w:iCs/>
        </w:rPr>
        <w:t>тарифоутворення</w:t>
      </w:r>
      <w:proofErr w:type="spellEnd"/>
      <w:r w:rsidRPr="000D167D">
        <w:rPr>
          <w:bCs w:val="0"/>
          <w:iCs/>
        </w:rPr>
        <w:t xml:space="preserve"> на послуги, що надаються в умовах ринкового домінування, а економічна обґрунтованість розмірів тарифів</w:t>
      </w:r>
      <w:r w:rsidR="00036157">
        <w:rPr>
          <w:bCs w:val="0"/>
          <w:iCs/>
        </w:rPr>
        <w:t xml:space="preserve"> </w:t>
      </w:r>
      <w:r w:rsidR="00036157" w:rsidRPr="000D167D">
        <w:rPr>
          <w:bCs w:val="0"/>
          <w:iCs/>
        </w:rPr>
        <w:t>ПАТ «Розрахунковий центр»</w:t>
      </w:r>
      <w:r w:rsidR="00036157">
        <w:rPr>
          <w:bCs w:val="0"/>
          <w:iCs/>
        </w:rPr>
        <w:t xml:space="preserve"> </w:t>
      </w:r>
      <w:r w:rsidR="00036157" w:rsidRPr="00036157">
        <w:rPr>
          <w:bCs w:val="0"/>
          <w:iCs/>
        </w:rPr>
        <w:t xml:space="preserve">на послуги з обслуговування клірингового рахунку </w:t>
      </w:r>
      <w:r w:rsidR="00036157">
        <w:rPr>
          <w:bCs w:val="0"/>
          <w:iCs/>
        </w:rPr>
        <w:t>встановлена</w:t>
      </w:r>
      <w:r w:rsidRPr="000D167D">
        <w:rPr>
          <w:bCs w:val="0"/>
          <w:iCs/>
        </w:rPr>
        <w:t xml:space="preserve">. </w:t>
      </w:r>
    </w:p>
    <w:p w:rsidR="009A5055" w:rsidRPr="000D167D" w:rsidRDefault="00137E11" w:rsidP="009A5055">
      <w:pPr>
        <w:pStyle w:val="-11"/>
        <w:numPr>
          <w:ilvl w:val="0"/>
          <w:numId w:val="0"/>
        </w:numPr>
        <w:spacing w:before="0" w:after="0" w:line="240" w:lineRule="atLeast"/>
        <w:ind w:left="709" w:hanging="709"/>
        <w:rPr>
          <w:bCs w:val="0"/>
          <w:iCs/>
        </w:rPr>
      </w:pPr>
      <w:r>
        <w:rPr>
          <w:bCs w:val="0"/>
          <w:iCs/>
        </w:rPr>
        <w:t>(78</w:t>
      </w:r>
      <w:r w:rsidR="009A5055" w:rsidRPr="000D167D">
        <w:rPr>
          <w:bCs w:val="0"/>
          <w:iCs/>
        </w:rPr>
        <w:t>)</w:t>
      </w:r>
      <w:r w:rsidR="009A5055" w:rsidRPr="000D167D">
        <w:rPr>
          <w:bCs w:val="0"/>
          <w:iCs/>
        </w:rPr>
        <w:tab/>
        <w:t>Відповідачем вжито відповідних заходів для усунення наслідків порушення. Встановлено порядок формування тарифів на клірингові послуги, які не надають інш</w:t>
      </w:r>
      <w:r w:rsidR="00B269E0">
        <w:rPr>
          <w:bCs w:val="0"/>
          <w:iCs/>
        </w:rPr>
        <w:t>і</w:t>
      </w:r>
      <w:r w:rsidR="009A5055" w:rsidRPr="000D167D">
        <w:rPr>
          <w:bCs w:val="0"/>
          <w:iCs/>
        </w:rPr>
        <w:t xml:space="preserve"> </w:t>
      </w:r>
      <w:r w:rsidR="009A5055" w:rsidRPr="000D167D">
        <w:rPr>
          <w:bCs w:val="0"/>
          <w:iCs/>
        </w:rPr>
        <w:lastRenderedPageBreak/>
        <w:t>суб’єкти господарювання, в якому передбачено чіткий, вичерпний перелік складових вартості послуг, підстави, умови та порядок їх перерахунку. Також, вжито заходів для створення дорадчо-консультативного органу за участю представників професійних учасників фондового ринку.</w:t>
      </w:r>
    </w:p>
    <w:p w:rsidR="009A5055" w:rsidRPr="000D167D" w:rsidRDefault="009A5055" w:rsidP="009A5055">
      <w:pPr>
        <w:pStyle w:val="-11"/>
        <w:numPr>
          <w:ilvl w:val="0"/>
          <w:numId w:val="0"/>
        </w:numPr>
        <w:spacing w:before="0" w:after="0" w:line="240" w:lineRule="atLeast"/>
        <w:ind w:left="561" w:hanging="561"/>
        <w:rPr>
          <w:bCs w:val="0"/>
          <w:iCs/>
        </w:rPr>
      </w:pPr>
      <w:r>
        <w:rPr>
          <w:bCs w:val="0"/>
          <w:iCs/>
        </w:rPr>
        <w:t xml:space="preserve"> (</w:t>
      </w:r>
      <w:r w:rsidRPr="000D167D">
        <w:rPr>
          <w:bCs w:val="0"/>
          <w:iCs/>
        </w:rPr>
        <w:t>7</w:t>
      </w:r>
      <w:r w:rsidR="00137E11">
        <w:rPr>
          <w:bCs w:val="0"/>
          <w:iCs/>
        </w:rPr>
        <w:t>9</w:t>
      </w:r>
      <w:r w:rsidRPr="000D167D">
        <w:rPr>
          <w:bCs w:val="0"/>
          <w:iCs/>
        </w:rPr>
        <w:t>)</w:t>
      </w:r>
      <w:r w:rsidRPr="000D167D">
        <w:rPr>
          <w:bCs w:val="0"/>
          <w:iCs/>
        </w:rPr>
        <w:tab/>
        <w:t xml:space="preserve">  За таких умов, враховуючи, що:</w:t>
      </w:r>
    </w:p>
    <w:p w:rsidR="009A5055" w:rsidRPr="000D167D" w:rsidRDefault="00544A87" w:rsidP="009A5055">
      <w:pPr>
        <w:pStyle w:val="-11"/>
        <w:numPr>
          <w:ilvl w:val="0"/>
          <w:numId w:val="7"/>
        </w:numPr>
        <w:tabs>
          <w:tab w:val="left" w:pos="993"/>
        </w:tabs>
        <w:spacing w:before="0" w:after="0" w:line="240" w:lineRule="atLeast"/>
        <w:ind w:left="709" w:firstLine="0"/>
        <w:rPr>
          <w:bCs w:val="0"/>
          <w:iCs/>
        </w:rPr>
      </w:pPr>
      <w:r>
        <w:rPr>
          <w:bCs w:val="0"/>
          <w:iCs/>
        </w:rPr>
        <w:t>відсутні ознаки цінового порушення</w:t>
      </w:r>
      <w:r w:rsidR="00036157">
        <w:rPr>
          <w:bCs w:val="0"/>
          <w:iCs/>
        </w:rPr>
        <w:t>,</w:t>
      </w:r>
      <w:r w:rsidR="009A5055" w:rsidRPr="000D167D">
        <w:rPr>
          <w:bCs w:val="0"/>
          <w:iCs/>
        </w:rPr>
        <w:t xml:space="preserve"> ПАТ «Розрахунковий центр» </w:t>
      </w:r>
      <w:r w:rsidR="00B269E0">
        <w:rPr>
          <w:bCs w:val="0"/>
          <w:iCs/>
        </w:rPr>
        <w:t>р</w:t>
      </w:r>
      <w:r w:rsidR="009A5055" w:rsidRPr="000D167D">
        <w:rPr>
          <w:bCs w:val="0"/>
          <w:iCs/>
        </w:rPr>
        <w:t>екомендації</w:t>
      </w:r>
      <w:r w:rsidR="00B269E0">
        <w:rPr>
          <w:bCs w:val="0"/>
          <w:iCs/>
        </w:rPr>
        <w:t>,</w:t>
      </w:r>
      <w:r w:rsidR="009A5055" w:rsidRPr="000D167D">
        <w:rPr>
          <w:bCs w:val="0"/>
          <w:iCs/>
        </w:rPr>
        <w:t xml:space="preserve"> </w:t>
      </w:r>
      <w:r>
        <w:rPr>
          <w:bCs w:val="0"/>
          <w:iCs/>
        </w:rPr>
        <w:t>надані Комітетом</w:t>
      </w:r>
      <w:r w:rsidR="009A5055" w:rsidRPr="000D167D">
        <w:rPr>
          <w:bCs w:val="0"/>
          <w:iCs/>
        </w:rPr>
        <w:t xml:space="preserve"> 25.07.2019 </w:t>
      </w:r>
      <w:r w:rsidR="00B269E0">
        <w:rPr>
          <w:bCs w:val="0"/>
          <w:iCs/>
        </w:rPr>
        <w:t xml:space="preserve">за </w:t>
      </w:r>
      <w:r w:rsidR="009A5055" w:rsidRPr="000D167D">
        <w:rPr>
          <w:bCs w:val="0"/>
          <w:iCs/>
        </w:rPr>
        <w:t>№ 52-рк</w:t>
      </w:r>
      <w:r w:rsidR="00B269E0">
        <w:rPr>
          <w:bCs w:val="0"/>
          <w:iCs/>
        </w:rPr>
        <w:t>,</w:t>
      </w:r>
      <w:r w:rsidR="009A5055" w:rsidRPr="000D167D">
        <w:rPr>
          <w:bCs w:val="0"/>
          <w:iCs/>
        </w:rPr>
        <w:t xml:space="preserve"> викона</w:t>
      </w:r>
      <w:r>
        <w:rPr>
          <w:bCs w:val="0"/>
          <w:iCs/>
        </w:rPr>
        <w:t>ло</w:t>
      </w:r>
      <w:r w:rsidR="009A5055" w:rsidRPr="000D167D">
        <w:rPr>
          <w:bCs w:val="0"/>
          <w:iCs/>
        </w:rPr>
        <w:t>;</w:t>
      </w:r>
    </w:p>
    <w:p w:rsidR="009A5055" w:rsidRPr="000D167D" w:rsidRDefault="009A5055" w:rsidP="009A5055">
      <w:pPr>
        <w:pStyle w:val="-11"/>
        <w:numPr>
          <w:ilvl w:val="0"/>
          <w:numId w:val="8"/>
        </w:numPr>
        <w:tabs>
          <w:tab w:val="left" w:pos="993"/>
        </w:tabs>
        <w:spacing w:before="0" w:after="0" w:line="240" w:lineRule="atLeast"/>
        <w:ind w:left="709" w:firstLine="0"/>
        <w:rPr>
          <w:bCs w:val="0"/>
          <w:iCs/>
        </w:rPr>
      </w:pPr>
      <w:r w:rsidRPr="000D167D">
        <w:rPr>
          <w:bCs w:val="0"/>
          <w:iCs/>
        </w:rPr>
        <w:t>у Комітеті відсутня інформація, яка б свідчила, що дії ПАТ «Розрахунковий центр» у вигляді</w:t>
      </w:r>
      <w:r w:rsidR="00B269E0">
        <w:rPr>
          <w:bCs w:val="0"/>
          <w:iCs/>
        </w:rPr>
        <w:t>:</w:t>
      </w:r>
      <w:r w:rsidRPr="000D167D">
        <w:rPr>
          <w:bCs w:val="0"/>
          <w:iCs/>
        </w:rPr>
        <w:t xml:space="preserve"> </w:t>
      </w:r>
    </w:p>
    <w:p w:rsidR="009A5055" w:rsidRPr="000D167D" w:rsidRDefault="009A5055" w:rsidP="009A5055">
      <w:pPr>
        <w:pStyle w:val="-11"/>
        <w:numPr>
          <w:ilvl w:val="0"/>
          <w:numId w:val="0"/>
        </w:numPr>
        <w:tabs>
          <w:tab w:val="left" w:pos="993"/>
        </w:tabs>
        <w:spacing w:before="0" w:after="0" w:line="240" w:lineRule="atLeast"/>
        <w:ind w:left="709"/>
        <w:rPr>
          <w:bCs w:val="0"/>
          <w:iCs/>
        </w:rPr>
      </w:pPr>
      <w:r w:rsidRPr="000D167D">
        <w:rPr>
          <w:bCs w:val="0"/>
          <w:iCs/>
        </w:rPr>
        <w:t>- відмови від тарифікації окремих операцій та підвищенн</w:t>
      </w:r>
      <w:r w:rsidR="00B269E0">
        <w:rPr>
          <w:bCs w:val="0"/>
          <w:iCs/>
        </w:rPr>
        <w:t>я</w:t>
      </w:r>
      <w:r w:rsidRPr="000D167D">
        <w:rPr>
          <w:bCs w:val="0"/>
          <w:iCs/>
        </w:rPr>
        <w:t xml:space="preserve"> вартості послуги з обслуговування клірингового рахунку з 04.01.2016;</w:t>
      </w:r>
    </w:p>
    <w:p w:rsidR="009A5055" w:rsidRPr="000D167D" w:rsidRDefault="009A5055" w:rsidP="009A5055">
      <w:pPr>
        <w:pStyle w:val="-11"/>
        <w:numPr>
          <w:ilvl w:val="0"/>
          <w:numId w:val="0"/>
        </w:numPr>
        <w:tabs>
          <w:tab w:val="left" w:pos="993"/>
        </w:tabs>
        <w:spacing w:before="0" w:after="0" w:line="240" w:lineRule="atLeast"/>
        <w:ind w:left="709"/>
        <w:rPr>
          <w:bCs w:val="0"/>
          <w:iCs/>
        </w:rPr>
      </w:pPr>
      <w:r w:rsidRPr="000D167D">
        <w:rPr>
          <w:bCs w:val="0"/>
          <w:iCs/>
        </w:rPr>
        <w:t xml:space="preserve">- зміни у 2018 році підходів до визначення вартості послуги з обслуговування клірингового рахунку, </w:t>
      </w:r>
    </w:p>
    <w:p w:rsidR="009A5055" w:rsidRPr="000D167D" w:rsidRDefault="009A5055" w:rsidP="009A5055">
      <w:pPr>
        <w:pStyle w:val="-11"/>
        <w:numPr>
          <w:ilvl w:val="0"/>
          <w:numId w:val="0"/>
        </w:numPr>
        <w:tabs>
          <w:tab w:val="left" w:pos="993"/>
        </w:tabs>
        <w:spacing w:before="0" w:after="0" w:line="240" w:lineRule="atLeast"/>
        <w:ind w:left="709"/>
        <w:rPr>
          <w:bCs w:val="0"/>
          <w:iCs/>
        </w:rPr>
      </w:pPr>
      <w:r w:rsidRPr="000D167D">
        <w:rPr>
          <w:bCs w:val="0"/>
          <w:iCs/>
        </w:rPr>
        <w:t>призвели до суттєвого обмеження чи спотворення конкуренції, чи завдали значних збитків окремим особам чи суспільству;</w:t>
      </w:r>
    </w:p>
    <w:p w:rsidR="009A5055" w:rsidRPr="000D167D" w:rsidRDefault="009A5055" w:rsidP="00B85B96">
      <w:pPr>
        <w:pStyle w:val="-11"/>
        <w:numPr>
          <w:ilvl w:val="0"/>
          <w:numId w:val="0"/>
        </w:numPr>
        <w:tabs>
          <w:tab w:val="left" w:pos="993"/>
        </w:tabs>
        <w:spacing w:before="0" w:after="0" w:line="240" w:lineRule="atLeast"/>
        <w:ind w:left="709"/>
        <w:rPr>
          <w:bCs w:val="0"/>
          <w:iCs/>
        </w:rPr>
      </w:pPr>
      <w:r w:rsidRPr="000D167D">
        <w:rPr>
          <w:bCs w:val="0"/>
          <w:iCs/>
        </w:rPr>
        <w:t>ПАТ «Розрахунковий центр» вжило заходів для усунення наслідків порушення шляхом внесення змін до Положення про тарифну політику публічного акціонерного товариства «Розрахунковий центр з обслуговування договорів на фінансових ринках»,</w:t>
      </w:r>
      <w:r w:rsidR="00544A87">
        <w:rPr>
          <w:bCs w:val="0"/>
          <w:iCs/>
        </w:rPr>
        <w:t xml:space="preserve"> </w:t>
      </w:r>
      <w:r w:rsidR="00B269E0">
        <w:rPr>
          <w:bCs w:val="0"/>
          <w:iCs/>
        </w:rPr>
        <w:t>–</w:t>
      </w:r>
      <w:r w:rsidR="00B269E0" w:rsidRPr="00B269E0">
        <w:rPr>
          <w:bCs w:val="0"/>
          <w:iCs/>
        </w:rPr>
        <w:t xml:space="preserve"> </w:t>
      </w:r>
      <w:r w:rsidR="00B269E0" w:rsidRPr="000D167D">
        <w:rPr>
          <w:bCs w:val="0"/>
          <w:iCs/>
        </w:rPr>
        <w:t>наявні підстави, передбачені частиною третьою статті 46 Закону України «Про захист економічної конкуренції»</w:t>
      </w:r>
      <w:r w:rsidR="00B269E0">
        <w:rPr>
          <w:bCs w:val="0"/>
          <w:iCs/>
        </w:rPr>
        <w:t>,</w:t>
      </w:r>
      <w:r w:rsidR="00B269E0" w:rsidRPr="000D167D">
        <w:rPr>
          <w:bCs w:val="0"/>
          <w:iCs/>
        </w:rPr>
        <w:t xml:space="preserve"> для закриття провадження у справі.</w:t>
      </w:r>
    </w:p>
    <w:p w:rsidR="009C3567" w:rsidRDefault="009C3567" w:rsidP="000D167D">
      <w:pPr>
        <w:pStyle w:val="-11"/>
        <w:numPr>
          <w:ilvl w:val="0"/>
          <w:numId w:val="0"/>
        </w:numPr>
        <w:spacing w:before="0" w:after="0" w:line="240" w:lineRule="atLeast"/>
        <w:ind w:firstLine="737"/>
        <w:rPr>
          <w:bCs w:val="0"/>
          <w:iCs/>
        </w:rPr>
      </w:pPr>
    </w:p>
    <w:p w:rsidR="0052334D" w:rsidRDefault="0052334D" w:rsidP="000D167D">
      <w:pPr>
        <w:pStyle w:val="-11"/>
        <w:numPr>
          <w:ilvl w:val="0"/>
          <w:numId w:val="0"/>
        </w:numPr>
        <w:spacing w:before="0" w:after="0" w:line="240" w:lineRule="atLeast"/>
        <w:ind w:firstLine="737"/>
        <w:rPr>
          <w:bCs w:val="0"/>
          <w:iCs/>
        </w:rPr>
      </w:pPr>
    </w:p>
    <w:p w:rsidR="000D167D" w:rsidRPr="000D167D" w:rsidRDefault="000D167D" w:rsidP="000D167D">
      <w:pPr>
        <w:pStyle w:val="-11"/>
        <w:numPr>
          <w:ilvl w:val="0"/>
          <w:numId w:val="0"/>
        </w:numPr>
        <w:spacing w:before="0" w:after="0" w:line="240" w:lineRule="atLeast"/>
        <w:ind w:firstLine="737"/>
        <w:rPr>
          <w:bCs w:val="0"/>
          <w:iCs/>
        </w:rPr>
      </w:pPr>
      <w:r w:rsidRPr="000D167D">
        <w:rPr>
          <w:bCs w:val="0"/>
          <w:iCs/>
        </w:rPr>
        <w:t xml:space="preserve">Враховуючи викладене, керуючись статтею 7 Закону України «Про Антимонопольний комітет України», статтями 46, 48 і 49 Закону України «Про захист економічної конкуренції» та пунктом 36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№169-р) (із змінами), Антимонопольний комітет України </w:t>
      </w:r>
    </w:p>
    <w:p w:rsidR="000D167D" w:rsidRPr="000D167D" w:rsidRDefault="000D167D" w:rsidP="000D167D">
      <w:pPr>
        <w:pStyle w:val="-11"/>
        <w:numPr>
          <w:ilvl w:val="0"/>
          <w:numId w:val="0"/>
        </w:numPr>
        <w:spacing w:line="240" w:lineRule="atLeast"/>
        <w:jc w:val="center"/>
        <w:rPr>
          <w:bCs w:val="0"/>
          <w:iCs/>
        </w:rPr>
      </w:pPr>
      <w:r w:rsidRPr="000D167D">
        <w:rPr>
          <w:bCs w:val="0"/>
          <w:iCs/>
        </w:rPr>
        <w:t>ПОСТАНОВИВ:</w:t>
      </w:r>
    </w:p>
    <w:p w:rsidR="000D167D" w:rsidRPr="000D167D" w:rsidRDefault="000D167D" w:rsidP="000D167D">
      <w:pPr>
        <w:pStyle w:val="-11"/>
        <w:numPr>
          <w:ilvl w:val="0"/>
          <w:numId w:val="0"/>
        </w:numPr>
        <w:spacing w:line="240" w:lineRule="atLeast"/>
        <w:ind w:firstLine="709"/>
        <w:rPr>
          <w:bCs w:val="0"/>
          <w:iCs/>
        </w:rPr>
      </w:pPr>
      <w:r w:rsidRPr="000D167D">
        <w:rPr>
          <w:bCs w:val="0"/>
          <w:iCs/>
        </w:rPr>
        <w:t>Закрити провадження у справі № 130-26.13/107-16.</w:t>
      </w:r>
    </w:p>
    <w:p w:rsidR="000D167D" w:rsidRPr="000D167D" w:rsidRDefault="000D167D" w:rsidP="000D167D">
      <w:pPr>
        <w:pStyle w:val="-11"/>
        <w:numPr>
          <w:ilvl w:val="0"/>
          <w:numId w:val="0"/>
        </w:numPr>
        <w:spacing w:line="240" w:lineRule="atLeast"/>
        <w:ind w:firstLine="709"/>
        <w:rPr>
          <w:bCs w:val="0"/>
          <w:iCs/>
          <w:lang w:val="ru-RU"/>
        </w:rPr>
      </w:pPr>
      <w:r w:rsidRPr="000D167D">
        <w:rPr>
          <w:bCs w:val="0"/>
          <w:iCs/>
        </w:rPr>
        <w:t>Рішення може бути оскаржене до господарського суду міста Києва у двомісячний строк з дня його одержання.</w:t>
      </w:r>
    </w:p>
    <w:p w:rsidR="001D3332" w:rsidRPr="000D167D" w:rsidRDefault="001D3332" w:rsidP="00B85B96">
      <w:pPr>
        <w:pStyle w:val="-11"/>
        <w:numPr>
          <w:ilvl w:val="0"/>
          <w:numId w:val="0"/>
        </w:numPr>
        <w:spacing w:line="240" w:lineRule="atLeast"/>
        <w:rPr>
          <w:bCs w:val="0"/>
          <w:iCs/>
          <w:lang w:val="ru-RU"/>
        </w:rPr>
      </w:pPr>
    </w:p>
    <w:p w:rsidR="00D802DC" w:rsidRPr="000D167D" w:rsidRDefault="000D167D" w:rsidP="000D167D">
      <w:pPr>
        <w:spacing w:line="240" w:lineRule="atLeast"/>
        <w:ind w:left="709" w:hanging="709"/>
        <w:jc w:val="both"/>
        <w:rPr>
          <w:rFonts w:ascii="Times New Roman" w:hAnsi="Times New Roman"/>
        </w:rPr>
      </w:pPr>
      <w:r w:rsidRPr="000D167D">
        <w:rPr>
          <w:rFonts w:ascii="Times New Roman" w:hAnsi="Times New Roman"/>
          <w:iCs/>
        </w:rPr>
        <w:t xml:space="preserve">Голова Комітету </w:t>
      </w:r>
      <w:r w:rsidRPr="000D167D">
        <w:rPr>
          <w:rFonts w:ascii="Times New Roman" w:hAnsi="Times New Roman"/>
          <w:iCs/>
        </w:rPr>
        <w:tab/>
      </w:r>
      <w:r w:rsidRPr="000D167D">
        <w:rPr>
          <w:rFonts w:ascii="Times New Roman" w:hAnsi="Times New Roman"/>
          <w:iCs/>
        </w:rPr>
        <w:tab/>
      </w:r>
      <w:r w:rsidRPr="000D167D">
        <w:rPr>
          <w:rFonts w:ascii="Times New Roman" w:hAnsi="Times New Roman"/>
          <w:iCs/>
          <w:lang w:val="ru-RU"/>
        </w:rPr>
        <w:tab/>
      </w:r>
      <w:r w:rsidRPr="000D167D">
        <w:rPr>
          <w:rFonts w:ascii="Times New Roman" w:hAnsi="Times New Roman"/>
          <w:iCs/>
          <w:lang w:val="ru-RU"/>
        </w:rPr>
        <w:tab/>
        <w:t xml:space="preserve">          </w:t>
      </w:r>
      <w:r w:rsidRPr="000D167D">
        <w:rPr>
          <w:rFonts w:ascii="Times New Roman" w:hAnsi="Times New Roman"/>
          <w:iCs/>
        </w:rPr>
        <w:tab/>
      </w:r>
      <w:r w:rsidRPr="000D167D">
        <w:rPr>
          <w:rFonts w:ascii="Times New Roman" w:hAnsi="Times New Roman"/>
          <w:iCs/>
        </w:rPr>
        <w:tab/>
      </w:r>
      <w:r w:rsidRPr="000D167D">
        <w:rPr>
          <w:rFonts w:ascii="Times New Roman" w:hAnsi="Times New Roman"/>
          <w:iCs/>
        </w:rPr>
        <w:tab/>
      </w:r>
      <w:r w:rsidRPr="000D167D">
        <w:rPr>
          <w:rFonts w:ascii="Times New Roman" w:hAnsi="Times New Roman"/>
          <w:iCs/>
          <w:lang w:val="ru-RU"/>
        </w:rPr>
        <w:tab/>
        <w:t xml:space="preserve">   </w:t>
      </w:r>
      <w:r w:rsidRPr="000D167D">
        <w:rPr>
          <w:rFonts w:ascii="Times New Roman" w:hAnsi="Times New Roman"/>
          <w:iCs/>
        </w:rPr>
        <w:t>О. ПІЩАНСЬКА</w:t>
      </w:r>
    </w:p>
    <w:p w:rsidR="00A12B83" w:rsidRPr="000D167D" w:rsidRDefault="002A4345" w:rsidP="00A12B83">
      <w:pPr>
        <w:spacing w:line="240" w:lineRule="atLeast"/>
        <w:ind w:left="748" w:hanging="748"/>
        <w:jc w:val="both"/>
        <w:rPr>
          <w:rFonts w:ascii="Times New Roman" w:hAnsi="Times New Roman"/>
        </w:rPr>
      </w:pPr>
      <w:r w:rsidRPr="000D167D">
        <w:rPr>
          <w:rFonts w:ascii="Times New Roman" w:hAnsi="Times New Roman"/>
        </w:rPr>
        <w:t xml:space="preserve"> </w:t>
      </w:r>
      <w:r w:rsidR="00FC7A47" w:rsidRPr="000D167D">
        <w:rPr>
          <w:rFonts w:ascii="Times New Roman" w:hAnsi="Times New Roman"/>
        </w:rPr>
        <w:t xml:space="preserve"> </w:t>
      </w:r>
      <w:r w:rsidR="002F6991" w:rsidRPr="000D167D">
        <w:rPr>
          <w:rFonts w:ascii="Times New Roman" w:hAnsi="Times New Roman"/>
        </w:rPr>
        <w:t xml:space="preserve"> </w:t>
      </w:r>
    </w:p>
    <w:p w:rsidR="00AB4F23" w:rsidRDefault="00AB4F23">
      <w:pPr>
        <w:rPr>
          <w:rFonts w:ascii="Times New Roman" w:hAnsi="Times New Roman"/>
        </w:rPr>
      </w:pPr>
    </w:p>
    <w:p w:rsidR="00137E11" w:rsidRDefault="00137E11">
      <w:pPr>
        <w:rPr>
          <w:rFonts w:ascii="Times New Roman" w:hAnsi="Times New Roman"/>
        </w:rPr>
      </w:pPr>
    </w:p>
    <w:p w:rsidR="00137E11" w:rsidRDefault="00137E11">
      <w:pPr>
        <w:rPr>
          <w:rFonts w:ascii="Times New Roman" w:hAnsi="Times New Roman"/>
        </w:rPr>
      </w:pPr>
    </w:p>
    <w:p w:rsidR="00137E11" w:rsidRDefault="00137E11">
      <w:pPr>
        <w:rPr>
          <w:rFonts w:ascii="Times New Roman" w:hAnsi="Times New Roman"/>
        </w:rPr>
      </w:pPr>
    </w:p>
    <w:p w:rsidR="00137E11" w:rsidRDefault="00137E11">
      <w:pPr>
        <w:rPr>
          <w:rFonts w:ascii="Times New Roman" w:hAnsi="Times New Roman"/>
        </w:rPr>
      </w:pPr>
    </w:p>
    <w:sectPr w:rsidR="00137E11" w:rsidSect="00766AE3">
      <w:headerReference w:type="default" r:id="rId11"/>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1EF" w:rsidRDefault="004901EF" w:rsidP="00A12B83">
      <w:r>
        <w:separator/>
      </w:r>
    </w:p>
  </w:endnote>
  <w:endnote w:type="continuationSeparator" w:id="0">
    <w:p w:rsidR="004901EF" w:rsidRDefault="004901EF" w:rsidP="00A1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1EF" w:rsidRDefault="004901EF" w:rsidP="00A12B83">
      <w:r>
        <w:separator/>
      </w:r>
    </w:p>
  </w:footnote>
  <w:footnote w:type="continuationSeparator" w:id="0">
    <w:p w:rsidR="004901EF" w:rsidRDefault="004901EF" w:rsidP="00A12B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2693430"/>
      <w:docPartObj>
        <w:docPartGallery w:val="Page Numbers (Top of Page)"/>
        <w:docPartUnique/>
      </w:docPartObj>
    </w:sdtPr>
    <w:sdtEndPr/>
    <w:sdtContent>
      <w:p w:rsidR="00A12B83" w:rsidRDefault="00A12B83">
        <w:pPr>
          <w:pStyle w:val="a5"/>
          <w:jc w:val="center"/>
        </w:pPr>
        <w:r w:rsidRPr="00A12B83">
          <w:rPr>
            <w:rFonts w:ascii="Times New Roman" w:hAnsi="Times New Roman"/>
          </w:rPr>
          <w:fldChar w:fldCharType="begin"/>
        </w:r>
        <w:r w:rsidRPr="00A12B83">
          <w:rPr>
            <w:rFonts w:ascii="Times New Roman" w:hAnsi="Times New Roman"/>
          </w:rPr>
          <w:instrText>PAGE   \* MERGEFORMAT</w:instrText>
        </w:r>
        <w:r w:rsidRPr="00A12B83">
          <w:rPr>
            <w:rFonts w:ascii="Times New Roman" w:hAnsi="Times New Roman"/>
          </w:rPr>
          <w:fldChar w:fldCharType="separate"/>
        </w:r>
        <w:r w:rsidR="00240935" w:rsidRPr="00240935">
          <w:rPr>
            <w:rFonts w:ascii="Times New Roman" w:hAnsi="Times New Roman"/>
            <w:noProof/>
            <w:lang w:val="ru-RU"/>
          </w:rPr>
          <w:t>2</w:t>
        </w:r>
        <w:r w:rsidRPr="00A12B83">
          <w:rPr>
            <w:rFonts w:ascii="Times New Roman" w:hAnsi="Times New Roman"/>
          </w:rPr>
          <w:fldChar w:fldCharType="end"/>
        </w:r>
      </w:p>
    </w:sdtContent>
  </w:sdt>
  <w:p w:rsidR="00A12B83" w:rsidRDefault="00A12B8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20"/>
        </w:tabs>
        <w:ind w:left="720" w:hanging="360"/>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bullet"/>
      <w:lvlText w:val=""/>
      <w:lvlJc w:val="left"/>
      <w:pPr>
        <w:tabs>
          <w:tab w:val="num" w:pos="1429"/>
        </w:tabs>
        <w:ind w:left="1428" w:firstLine="1"/>
      </w:pPr>
      <w:rPr>
        <w:rFonts w:ascii="Symbol" w:hAnsi="Symbol" w:cs="Symbol" w:hint="default"/>
        <w:sz w:val="18"/>
        <w:szCs w:val="18"/>
        <w:lang w:val="uk-UA" w:eastAsia="uk-UA"/>
      </w:rPr>
    </w:lvl>
  </w:abstractNum>
  <w:abstractNum w:abstractNumId="2">
    <w:nsid w:val="00000003"/>
    <w:multiLevelType w:val="multilevel"/>
    <w:tmpl w:val="00000003"/>
    <w:name w:val="WW8Num4"/>
    <w:lvl w:ilvl="0">
      <w:start w:val="1"/>
      <w:numFmt w:val="decimal"/>
      <w:pStyle w:val="a"/>
      <w:lvlText w:val="(%1)"/>
      <w:lvlJc w:val="left"/>
      <w:pPr>
        <w:tabs>
          <w:tab w:val="num" w:pos="943"/>
        </w:tabs>
        <w:ind w:left="943" w:hanging="403"/>
      </w:pPr>
      <w:rPr>
        <w:rFonts w:hint="default"/>
        <w:b/>
        <w:i w:val="0"/>
      </w:rPr>
    </w:lvl>
    <w:lvl w:ilvl="1">
      <w:start w:val="1"/>
      <w:numFmt w:val="lowerLetter"/>
      <w:lvlText w:val="%2."/>
      <w:lvlJc w:val="left"/>
      <w:pPr>
        <w:tabs>
          <w:tab w:val="num" w:pos="-3420"/>
        </w:tabs>
        <w:ind w:left="342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1980"/>
        </w:tabs>
        <w:ind w:left="1980" w:hanging="360"/>
      </w:pPr>
      <w:rPr>
        <w:rFonts w:hint="default"/>
        <w:b w:val="0"/>
        <w:i w:val="0"/>
      </w:rPr>
    </w:lvl>
    <w:lvl w:ilvl="4">
      <w:start w:val="1"/>
      <w:numFmt w:val="bullet"/>
      <w:lvlText w:val=""/>
      <w:lvlJc w:val="left"/>
      <w:pPr>
        <w:tabs>
          <w:tab w:val="num" w:pos="-1620"/>
        </w:tabs>
        <w:ind w:left="1621" w:firstLine="1"/>
      </w:pPr>
      <w:rPr>
        <w:rFonts w:ascii="Symbol" w:hAnsi="Symbol" w:cs="Symbol" w:hint="default"/>
        <w:b w:val="0"/>
        <w:i w:val="0"/>
        <w:sz w:val="18"/>
        <w:szCs w:val="18"/>
      </w:rPr>
    </w:lvl>
    <w:lvl w:ilvl="5">
      <w:start w:val="1"/>
      <w:numFmt w:val="decimal"/>
      <w:lvlText w:val="%6)"/>
      <w:lvlJc w:val="left"/>
      <w:pPr>
        <w:tabs>
          <w:tab w:val="num" w:pos="-360"/>
        </w:tabs>
        <w:ind w:left="360" w:hanging="360"/>
      </w:pPr>
      <w:rPr>
        <w:rFonts w:hint="default"/>
        <w:b w:val="0"/>
        <w:i w:val="0"/>
      </w:rPr>
    </w:lvl>
    <w:lvl w:ilvl="6">
      <w:start w:val="1"/>
      <w:numFmt w:val="decimal"/>
      <w:lvlText w:val="%7."/>
      <w:lvlJc w:val="left"/>
      <w:pPr>
        <w:tabs>
          <w:tab w:val="num" w:pos="180"/>
        </w:tabs>
        <w:ind w:left="180" w:hanging="360"/>
      </w:pPr>
    </w:lvl>
    <w:lvl w:ilvl="7">
      <w:start w:val="1"/>
      <w:numFmt w:val="lowerLetter"/>
      <w:lvlText w:val="%8."/>
      <w:lvlJc w:val="left"/>
      <w:pPr>
        <w:tabs>
          <w:tab w:val="num" w:pos="900"/>
        </w:tabs>
        <w:ind w:left="900" w:hanging="360"/>
      </w:pPr>
    </w:lvl>
    <w:lvl w:ilvl="8">
      <w:start w:val="1"/>
      <w:numFmt w:val="lowerRoman"/>
      <w:lvlText w:val="%9."/>
      <w:lvlJc w:val="right"/>
      <w:pPr>
        <w:tabs>
          <w:tab w:val="num" w:pos="1620"/>
        </w:tabs>
        <w:ind w:left="1620" w:hanging="180"/>
      </w:pPr>
    </w:lvl>
  </w:abstractNum>
  <w:abstractNum w:abstractNumId="3">
    <w:nsid w:val="00000004"/>
    <w:multiLevelType w:val="multilevel"/>
    <w:tmpl w:val="00000004"/>
    <w:name w:val="WW8Num5"/>
    <w:lvl w:ilvl="0">
      <w:start w:val="1"/>
      <w:numFmt w:val="decimal"/>
      <w:pStyle w:val="-11"/>
      <w:lvlText w:val="(%1)"/>
      <w:lvlJc w:val="left"/>
      <w:pPr>
        <w:tabs>
          <w:tab w:val="num" w:pos="921"/>
        </w:tabs>
        <w:ind w:left="921" w:hanging="360"/>
      </w:pPr>
      <w:rPr>
        <w:rFonts w:hint="default"/>
        <w:b/>
      </w:rPr>
    </w:lvl>
    <w:lvl w:ilvl="1">
      <w:start w:val="2"/>
      <w:numFmt w:val="decimal"/>
      <w:lvlText w:val="%2"/>
      <w:lvlJc w:val="left"/>
      <w:pPr>
        <w:tabs>
          <w:tab w:val="num" w:pos="1440"/>
        </w:tabs>
        <w:ind w:left="1440" w:hanging="360"/>
      </w:pPr>
      <w:rPr>
        <w:rFonts w:hint="default"/>
      </w:rPr>
    </w:lvl>
    <w:lvl w:ilvl="2">
      <w:start w:val="4"/>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00000005"/>
    <w:multiLevelType w:val="singleLevel"/>
    <w:tmpl w:val="00000005"/>
    <w:name w:val="WW8Num6"/>
    <w:lvl w:ilvl="0">
      <w:start w:val="1"/>
      <w:numFmt w:val="bullet"/>
      <w:lvlText w:val=""/>
      <w:lvlJc w:val="left"/>
      <w:pPr>
        <w:tabs>
          <w:tab w:val="num" w:pos="1414"/>
        </w:tabs>
        <w:ind w:left="1413" w:firstLine="1"/>
      </w:pPr>
      <w:rPr>
        <w:rFonts w:ascii="Symbol" w:hAnsi="Symbol" w:cs="Symbol" w:hint="default"/>
        <w:sz w:val="18"/>
        <w:szCs w:val="18"/>
      </w:rPr>
    </w:lvl>
  </w:abstractNum>
  <w:abstractNum w:abstractNumId="5">
    <w:nsid w:val="00000006"/>
    <w:multiLevelType w:val="singleLevel"/>
    <w:tmpl w:val="00000006"/>
    <w:name w:val="WW8Num7"/>
    <w:lvl w:ilvl="0">
      <w:start w:val="1"/>
      <w:numFmt w:val="bullet"/>
      <w:lvlText w:val=""/>
      <w:lvlJc w:val="left"/>
      <w:pPr>
        <w:tabs>
          <w:tab w:val="num" w:pos="1429"/>
        </w:tabs>
        <w:ind w:left="1428" w:firstLine="1"/>
      </w:pPr>
      <w:rPr>
        <w:rFonts w:ascii="Symbol" w:hAnsi="Symbol" w:cs="Symbol" w:hint="default"/>
        <w:sz w:val="18"/>
        <w:szCs w:val="18"/>
      </w:rPr>
    </w:lvl>
  </w:abstractNum>
  <w:abstractNum w:abstractNumId="6">
    <w:nsid w:val="00B9568A"/>
    <w:multiLevelType w:val="hybridMultilevel"/>
    <w:tmpl w:val="65E451EA"/>
    <w:lvl w:ilvl="0" w:tplc="0422000D">
      <w:start w:val="1"/>
      <w:numFmt w:val="bullet"/>
      <w:lvlText w:val=""/>
      <w:lvlJc w:val="left"/>
      <w:pPr>
        <w:ind w:left="1397" w:hanging="360"/>
      </w:pPr>
      <w:rPr>
        <w:rFonts w:ascii="Wingdings" w:hAnsi="Wingdings" w:hint="default"/>
      </w:rPr>
    </w:lvl>
    <w:lvl w:ilvl="1" w:tplc="04220003" w:tentative="1">
      <w:start w:val="1"/>
      <w:numFmt w:val="bullet"/>
      <w:lvlText w:val="o"/>
      <w:lvlJc w:val="left"/>
      <w:pPr>
        <w:ind w:left="2117" w:hanging="360"/>
      </w:pPr>
      <w:rPr>
        <w:rFonts w:ascii="Courier New" w:hAnsi="Courier New" w:cs="Courier New" w:hint="default"/>
      </w:rPr>
    </w:lvl>
    <w:lvl w:ilvl="2" w:tplc="04220005" w:tentative="1">
      <w:start w:val="1"/>
      <w:numFmt w:val="bullet"/>
      <w:lvlText w:val=""/>
      <w:lvlJc w:val="left"/>
      <w:pPr>
        <w:ind w:left="2837" w:hanging="360"/>
      </w:pPr>
      <w:rPr>
        <w:rFonts w:ascii="Wingdings" w:hAnsi="Wingdings" w:hint="default"/>
      </w:rPr>
    </w:lvl>
    <w:lvl w:ilvl="3" w:tplc="04220001" w:tentative="1">
      <w:start w:val="1"/>
      <w:numFmt w:val="bullet"/>
      <w:lvlText w:val=""/>
      <w:lvlJc w:val="left"/>
      <w:pPr>
        <w:ind w:left="3557" w:hanging="360"/>
      </w:pPr>
      <w:rPr>
        <w:rFonts w:ascii="Symbol" w:hAnsi="Symbol" w:hint="default"/>
      </w:rPr>
    </w:lvl>
    <w:lvl w:ilvl="4" w:tplc="04220003" w:tentative="1">
      <w:start w:val="1"/>
      <w:numFmt w:val="bullet"/>
      <w:lvlText w:val="o"/>
      <w:lvlJc w:val="left"/>
      <w:pPr>
        <w:ind w:left="4277" w:hanging="360"/>
      </w:pPr>
      <w:rPr>
        <w:rFonts w:ascii="Courier New" w:hAnsi="Courier New" w:cs="Courier New" w:hint="default"/>
      </w:rPr>
    </w:lvl>
    <w:lvl w:ilvl="5" w:tplc="04220005" w:tentative="1">
      <w:start w:val="1"/>
      <w:numFmt w:val="bullet"/>
      <w:lvlText w:val=""/>
      <w:lvlJc w:val="left"/>
      <w:pPr>
        <w:ind w:left="4997" w:hanging="360"/>
      </w:pPr>
      <w:rPr>
        <w:rFonts w:ascii="Wingdings" w:hAnsi="Wingdings" w:hint="default"/>
      </w:rPr>
    </w:lvl>
    <w:lvl w:ilvl="6" w:tplc="04220001" w:tentative="1">
      <w:start w:val="1"/>
      <w:numFmt w:val="bullet"/>
      <w:lvlText w:val=""/>
      <w:lvlJc w:val="left"/>
      <w:pPr>
        <w:ind w:left="5717" w:hanging="360"/>
      </w:pPr>
      <w:rPr>
        <w:rFonts w:ascii="Symbol" w:hAnsi="Symbol" w:hint="default"/>
      </w:rPr>
    </w:lvl>
    <w:lvl w:ilvl="7" w:tplc="04220003" w:tentative="1">
      <w:start w:val="1"/>
      <w:numFmt w:val="bullet"/>
      <w:lvlText w:val="o"/>
      <w:lvlJc w:val="left"/>
      <w:pPr>
        <w:ind w:left="6437" w:hanging="360"/>
      </w:pPr>
      <w:rPr>
        <w:rFonts w:ascii="Courier New" w:hAnsi="Courier New" w:cs="Courier New" w:hint="default"/>
      </w:rPr>
    </w:lvl>
    <w:lvl w:ilvl="8" w:tplc="04220005" w:tentative="1">
      <w:start w:val="1"/>
      <w:numFmt w:val="bullet"/>
      <w:lvlText w:val=""/>
      <w:lvlJc w:val="left"/>
      <w:pPr>
        <w:ind w:left="7157" w:hanging="360"/>
      </w:pPr>
      <w:rPr>
        <w:rFonts w:ascii="Wingdings" w:hAnsi="Wingdings" w:hint="default"/>
      </w:rPr>
    </w:lvl>
  </w:abstractNum>
  <w:abstractNum w:abstractNumId="7">
    <w:nsid w:val="29B54C27"/>
    <w:multiLevelType w:val="hybridMultilevel"/>
    <w:tmpl w:val="7116DA14"/>
    <w:lvl w:ilvl="0" w:tplc="A2F40E06">
      <w:start w:val="1"/>
      <w:numFmt w:val="decimal"/>
      <w:lvlText w:val="%1."/>
      <w:lvlJc w:val="left"/>
      <w:pPr>
        <w:ind w:left="1065" w:hanging="7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03D1A3B"/>
    <w:multiLevelType w:val="hybridMultilevel"/>
    <w:tmpl w:val="0FDCE8A2"/>
    <w:lvl w:ilvl="0" w:tplc="0422000D">
      <w:start w:val="1"/>
      <w:numFmt w:val="bullet"/>
      <w:lvlText w:val=""/>
      <w:lvlJc w:val="left"/>
      <w:pPr>
        <w:ind w:left="1457" w:hanging="360"/>
      </w:pPr>
      <w:rPr>
        <w:rFonts w:ascii="Wingdings" w:hAnsi="Wingdings" w:hint="default"/>
      </w:rPr>
    </w:lvl>
    <w:lvl w:ilvl="1" w:tplc="04220003" w:tentative="1">
      <w:start w:val="1"/>
      <w:numFmt w:val="bullet"/>
      <w:lvlText w:val="o"/>
      <w:lvlJc w:val="left"/>
      <w:pPr>
        <w:ind w:left="2177" w:hanging="360"/>
      </w:pPr>
      <w:rPr>
        <w:rFonts w:ascii="Courier New" w:hAnsi="Courier New" w:cs="Courier New" w:hint="default"/>
      </w:rPr>
    </w:lvl>
    <w:lvl w:ilvl="2" w:tplc="04220005" w:tentative="1">
      <w:start w:val="1"/>
      <w:numFmt w:val="bullet"/>
      <w:lvlText w:val=""/>
      <w:lvlJc w:val="left"/>
      <w:pPr>
        <w:ind w:left="2897" w:hanging="360"/>
      </w:pPr>
      <w:rPr>
        <w:rFonts w:ascii="Wingdings" w:hAnsi="Wingdings" w:hint="default"/>
      </w:rPr>
    </w:lvl>
    <w:lvl w:ilvl="3" w:tplc="04220001" w:tentative="1">
      <w:start w:val="1"/>
      <w:numFmt w:val="bullet"/>
      <w:lvlText w:val=""/>
      <w:lvlJc w:val="left"/>
      <w:pPr>
        <w:ind w:left="3617" w:hanging="360"/>
      </w:pPr>
      <w:rPr>
        <w:rFonts w:ascii="Symbol" w:hAnsi="Symbol" w:hint="default"/>
      </w:rPr>
    </w:lvl>
    <w:lvl w:ilvl="4" w:tplc="04220003" w:tentative="1">
      <w:start w:val="1"/>
      <w:numFmt w:val="bullet"/>
      <w:lvlText w:val="o"/>
      <w:lvlJc w:val="left"/>
      <w:pPr>
        <w:ind w:left="4337" w:hanging="360"/>
      </w:pPr>
      <w:rPr>
        <w:rFonts w:ascii="Courier New" w:hAnsi="Courier New" w:cs="Courier New" w:hint="default"/>
      </w:rPr>
    </w:lvl>
    <w:lvl w:ilvl="5" w:tplc="04220005" w:tentative="1">
      <w:start w:val="1"/>
      <w:numFmt w:val="bullet"/>
      <w:lvlText w:val=""/>
      <w:lvlJc w:val="left"/>
      <w:pPr>
        <w:ind w:left="5057" w:hanging="360"/>
      </w:pPr>
      <w:rPr>
        <w:rFonts w:ascii="Wingdings" w:hAnsi="Wingdings" w:hint="default"/>
      </w:rPr>
    </w:lvl>
    <w:lvl w:ilvl="6" w:tplc="04220001" w:tentative="1">
      <w:start w:val="1"/>
      <w:numFmt w:val="bullet"/>
      <w:lvlText w:val=""/>
      <w:lvlJc w:val="left"/>
      <w:pPr>
        <w:ind w:left="5777" w:hanging="360"/>
      </w:pPr>
      <w:rPr>
        <w:rFonts w:ascii="Symbol" w:hAnsi="Symbol" w:hint="default"/>
      </w:rPr>
    </w:lvl>
    <w:lvl w:ilvl="7" w:tplc="04220003" w:tentative="1">
      <w:start w:val="1"/>
      <w:numFmt w:val="bullet"/>
      <w:lvlText w:val="o"/>
      <w:lvlJc w:val="left"/>
      <w:pPr>
        <w:ind w:left="6497" w:hanging="360"/>
      </w:pPr>
      <w:rPr>
        <w:rFonts w:ascii="Courier New" w:hAnsi="Courier New" w:cs="Courier New" w:hint="default"/>
      </w:rPr>
    </w:lvl>
    <w:lvl w:ilvl="8" w:tplc="04220005" w:tentative="1">
      <w:start w:val="1"/>
      <w:numFmt w:val="bullet"/>
      <w:lvlText w:val=""/>
      <w:lvlJc w:val="left"/>
      <w:pPr>
        <w:ind w:left="7217" w:hanging="360"/>
      </w:pPr>
      <w:rPr>
        <w:rFonts w:ascii="Wingdings" w:hAnsi="Wingdings" w:hint="default"/>
      </w:rPr>
    </w:lvl>
  </w:abstractNum>
  <w:abstractNum w:abstractNumId="9">
    <w:nsid w:val="47333C94"/>
    <w:multiLevelType w:val="hybridMultilevel"/>
    <w:tmpl w:val="5C128D44"/>
    <w:lvl w:ilvl="0" w:tplc="0422000D">
      <w:start w:val="1"/>
      <w:numFmt w:val="bullet"/>
      <w:lvlText w:val=""/>
      <w:lvlJc w:val="left"/>
      <w:pPr>
        <w:ind w:left="1457" w:hanging="360"/>
      </w:pPr>
      <w:rPr>
        <w:rFonts w:ascii="Wingdings" w:hAnsi="Wingdings" w:hint="default"/>
      </w:rPr>
    </w:lvl>
    <w:lvl w:ilvl="1" w:tplc="04220003" w:tentative="1">
      <w:start w:val="1"/>
      <w:numFmt w:val="bullet"/>
      <w:lvlText w:val="o"/>
      <w:lvlJc w:val="left"/>
      <w:pPr>
        <w:ind w:left="2177" w:hanging="360"/>
      </w:pPr>
      <w:rPr>
        <w:rFonts w:ascii="Courier New" w:hAnsi="Courier New" w:cs="Courier New" w:hint="default"/>
      </w:rPr>
    </w:lvl>
    <w:lvl w:ilvl="2" w:tplc="04220005" w:tentative="1">
      <w:start w:val="1"/>
      <w:numFmt w:val="bullet"/>
      <w:lvlText w:val=""/>
      <w:lvlJc w:val="left"/>
      <w:pPr>
        <w:ind w:left="2897" w:hanging="360"/>
      </w:pPr>
      <w:rPr>
        <w:rFonts w:ascii="Wingdings" w:hAnsi="Wingdings" w:hint="default"/>
      </w:rPr>
    </w:lvl>
    <w:lvl w:ilvl="3" w:tplc="04220001" w:tentative="1">
      <w:start w:val="1"/>
      <w:numFmt w:val="bullet"/>
      <w:lvlText w:val=""/>
      <w:lvlJc w:val="left"/>
      <w:pPr>
        <w:ind w:left="3617" w:hanging="360"/>
      </w:pPr>
      <w:rPr>
        <w:rFonts w:ascii="Symbol" w:hAnsi="Symbol" w:hint="default"/>
      </w:rPr>
    </w:lvl>
    <w:lvl w:ilvl="4" w:tplc="04220003" w:tentative="1">
      <w:start w:val="1"/>
      <w:numFmt w:val="bullet"/>
      <w:lvlText w:val="o"/>
      <w:lvlJc w:val="left"/>
      <w:pPr>
        <w:ind w:left="4337" w:hanging="360"/>
      </w:pPr>
      <w:rPr>
        <w:rFonts w:ascii="Courier New" w:hAnsi="Courier New" w:cs="Courier New" w:hint="default"/>
      </w:rPr>
    </w:lvl>
    <w:lvl w:ilvl="5" w:tplc="04220005" w:tentative="1">
      <w:start w:val="1"/>
      <w:numFmt w:val="bullet"/>
      <w:lvlText w:val=""/>
      <w:lvlJc w:val="left"/>
      <w:pPr>
        <w:ind w:left="5057" w:hanging="360"/>
      </w:pPr>
      <w:rPr>
        <w:rFonts w:ascii="Wingdings" w:hAnsi="Wingdings" w:hint="default"/>
      </w:rPr>
    </w:lvl>
    <w:lvl w:ilvl="6" w:tplc="04220001" w:tentative="1">
      <w:start w:val="1"/>
      <w:numFmt w:val="bullet"/>
      <w:lvlText w:val=""/>
      <w:lvlJc w:val="left"/>
      <w:pPr>
        <w:ind w:left="5777" w:hanging="360"/>
      </w:pPr>
      <w:rPr>
        <w:rFonts w:ascii="Symbol" w:hAnsi="Symbol" w:hint="default"/>
      </w:rPr>
    </w:lvl>
    <w:lvl w:ilvl="7" w:tplc="04220003" w:tentative="1">
      <w:start w:val="1"/>
      <w:numFmt w:val="bullet"/>
      <w:lvlText w:val="o"/>
      <w:lvlJc w:val="left"/>
      <w:pPr>
        <w:ind w:left="6497" w:hanging="360"/>
      </w:pPr>
      <w:rPr>
        <w:rFonts w:ascii="Courier New" w:hAnsi="Courier New" w:cs="Courier New" w:hint="default"/>
      </w:rPr>
    </w:lvl>
    <w:lvl w:ilvl="8" w:tplc="04220005" w:tentative="1">
      <w:start w:val="1"/>
      <w:numFmt w:val="bullet"/>
      <w:lvlText w:val=""/>
      <w:lvlJc w:val="left"/>
      <w:pPr>
        <w:ind w:left="7217" w:hanging="360"/>
      </w:pPr>
      <w:rPr>
        <w:rFonts w:ascii="Wingdings" w:hAnsi="Wingdings" w:hint="default"/>
      </w:rPr>
    </w:lvl>
  </w:abstractNum>
  <w:abstractNum w:abstractNumId="10">
    <w:nsid w:val="475130CC"/>
    <w:multiLevelType w:val="hybridMultilevel"/>
    <w:tmpl w:val="93DCF35C"/>
    <w:lvl w:ilvl="0" w:tplc="BAC47650">
      <w:start w:val="1"/>
      <w:numFmt w:val="bullet"/>
      <w:lvlText w:val=""/>
      <w:lvlJc w:val="left"/>
      <w:pPr>
        <w:ind w:left="1850" w:hanging="360"/>
      </w:pPr>
      <w:rPr>
        <w:rFonts w:ascii="Symbol" w:hAnsi="Symbol" w:hint="default"/>
        <w:sz w:val="24"/>
      </w:rPr>
    </w:lvl>
    <w:lvl w:ilvl="1" w:tplc="04220003" w:tentative="1">
      <w:start w:val="1"/>
      <w:numFmt w:val="bullet"/>
      <w:lvlText w:val="o"/>
      <w:lvlJc w:val="left"/>
      <w:pPr>
        <w:ind w:left="2570" w:hanging="360"/>
      </w:pPr>
      <w:rPr>
        <w:rFonts w:ascii="Courier New" w:hAnsi="Courier New" w:cs="Courier New" w:hint="default"/>
      </w:rPr>
    </w:lvl>
    <w:lvl w:ilvl="2" w:tplc="04220005" w:tentative="1">
      <w:start w:val="1"/>
      <w:numFmt w:val="bullet"/>
      <w:lvlText w:val=""/>
      <w:lvlJc w:val="left"/>
      <w:pPr>
        <w:ind w:left="3290" w:hanging="360"/>
      </w:pPr>
      <w:rPr>
        <w:rFonts w:ascii="Wingdings" w:hAnsi="Wingdings" w:hint="default"/>
      </w:rPr>
    </w:lvl>
    <w:lvl w:ilvl="3" w:tplc="04220001" w:tentative="1">
      <w:start w:val="1"/>
      <w:numFmt w:val="bullet"/>
      <w:lvlText w:val=""/>
      <w:lvlJc w:val="left"/>
      <w:pPr>
        <w:ind w:left="4010" w:hanging="360"/>
      </w:pPr>
      <w:rPr>
        <w:rFonts w:ascii="Symbol" w:hAnsi="Symbol" w:hint="default"/>
      </w:rPr>
    </w:lvl>
    <w:lvl w:ilvl="4" w:tplc="04220003" w:tentative="1">
      <w:start w:val="1"/>
      <w:numFmt w:val="bullet"/>
      <w:lvlText w:val="o"/>
      <w:lvlJc w:val="left"/>
      <w:pPr>
        <w:ind w:left="4730" w:hanging="360"/>
      </w:pPr>
      <w:rPr>
        <w:rFonts w:ascii="Courier New" w:hAnsi="Courier New" w:cs="Courier New" w:hint="default"/>
      </w:rPr>
    </w:lvl>
    <w:lvl w:ilvl="5" w:tplc="04220005" w:tentative="1">
      <w:start w:val="1"/>
      <w:numFmt w:val="bullet"/>
      <w:lvlText w:val=""/>
      <w:lvlJc w:val="left"/>
      <w:pPr>
        <w:ind w:left="5450" w:hanging="360"/>
      </w:pPr>
      <w:rPr>
        <w:rFonts w:ascii="Wingdings" w:hAnsi="Wingdings" w:hint="default"/>
      </w:rPr>
    </w:lvl>
    <w:lvl w:ilvl="6" w:tplc="04220001" w:tentative="1">
      <w:start w:val="1"/>
      <w:numFmt w:val="bullet"/>
      <w:lvlText w:val=""/>
      <w:lvlJc w:val="left"/>
      <w:pPr>
        <w:ind w:left="6170" w:hanging="360"/>
      </w:pPr>
      <w:rPr>
        <w:rFonts w:ascii="Symbol" w:hAnsi="Symbol" w:hint="default"/>
      </w:rPr>
    </w:lvl>
    <w:lvl w:ilvl="7" w:tplc="04220003" w:tentative="1">
      <w:start w:val="1"/>
      <w:numFmt w:val="bullet"/>
      <w:lvlText w:val="o"/>
      <w:lvlJc w:val="left"/>
      <w:pPr>
        <w:ind w:left="6890" w:hanging="360"/>
      </w:pPr>
      <w:rPr>
        <w:rFonts w:ascii="Courier New" w:hAnsi="Courier New" w:cs="Courier New" w:hint="default"/>
      </w:rPr>
    </w:lvl>
    <w:lvl w:ilvl="8" w:tplc="04220005" w:tentative="1">
      <w:start w:val="1"/>
      <w:numFmt w:val="bullet"/>
      <w:lvlText w:val=""/>
      <w:lvlJc w:val="left"/>
      <w:pPr>
        <w:ind w:left="7610" w:hanging="360"/>
      </w:pPr>
      <w:rPr>
        <w:rFonts w:ascii="Wingdings" w:hAnsi="Wingdings" w:hint="default"/>
      </w:rPr>
    </w:lvl>
  </w:abstractNum>
  <w:abstractNum w:abstractNumId="11">
    <w:nsid w:val="596D0673"/>
    <w:multiLevelType w:val="hybridMultilevel"/>
    <w:tmpl w:val="114625F8"/>
    <w:lvl w:ilvl="0" w:tplc="00000006">
      <w:start w:val="1"/>
      <w:numFmt w:val="bullet"/>
      <w:lvlText w:val=""/>
      <w:lvlJc w:val="left"/>
      <w:pPr>
        <w:ind w:left="1429" w:hanging="360"/>
      </w:pPr>
      <w:rPr>
        <w:rFonts w:ascii="Symbol" w:hAnsi="Symbol" w:cs="Symbol" w:hint="default"/>
        <w:sz w:val="18"/>
        <w:szCs w:val="1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98B0441"/>
    <w:multiLevelType w:val="hybridMultilevel"/>
    <w:tmpl w:val="DC9C0678"/>
    <w:lvl w:ilvl="0" w:tplc="04220005">
      <w:start w:val="1"/>
      <w:numFmt w:val="bullet"/>
      <w:lvlText w:val=""/>
      <w:lvlJc w:val="left"/>
      <w:pPr>
        <w:ind w:left="1460" w:hanging="360"/>
      </w:pPr>
      <w:rPr>
        <w:rFonts w:ascii="Wingdings" w:hAnsi="Wingdings" w:hint="default"/>
      </w:rPr>
    </w:lvl>
    <w:lvl w:ilvl="1" w:tplc="04220003" w:tentative="1">
      <w:start w:val="1"/>
      <w:numFmt w:val="bullet"/>
      <w:lvlText w:val="o"/>
      <w:lvlJc w:val="left"/>
      <w:pPr>
        <w:ind w:left="2180" w:hanging="360"/>
      </w:pPr>
      <w:rPr>
        <w:rFonts w:ascii="Courier New" w:hAnsi="Courier New" w:cs="Courier New" w:hint="default"/>
      </w:rPr>
    </w:lvl>
    <w:lvl w:ilvl="2" w:tplc="04220005" w:tentative="1">
      <w:start w:val="1"/>
      <w:numFmt w:val="bullet"/>
      <w:lvlText w:val=""/>
      <w:lvlJc w:val="left"/>
      <w:pPr>
        <w:ind w:left="2900" w:hanging="360"/>
      </w:pPr>
      <w:rPr>
        <w:rFonts w:ascii="Wingdings" w:hAnsi="Wingdings" w:hint="default"/>
      </w:rPr>
    </w:lvl>
    <w:lvl w:ilvl="3" w:tplc="04220001" w:tentative="1">
      <w:start w:val="1"/>
      <w:numFmt w:val="bullet"/>
      <w:lvlText w:val=""/>
      <w:lvlJc w:val="left"/>
      <w:pPr>
        <w:ind w:left="3620" w:hanging="360"/>
      </w:pPr>
      <w:rPr>
        <w:rFonts w:ascii="Symbol" w:hAnsi="Symbol" w:hint="default"/>
      </w:rPr>
    </w:lvl>
    <w:lvl w:ilvl="4" w:tplc="04220003" w:tentative="1">
      <w:start w:val="1"/>
      <w:numFmt w:val="bullet"/>
      <w:lvlText w:val="o"/>
      <w:lvlJc w:val="left"/>
      <w:pPr>
        <w:ind w:left="4340" w:hanging="360"/>
      </w:pPr>
      <w:rPr>
        <w:rFonts w:ascii="Courier New" w:hAnsi="Courier New" w:cs="Courier New" w:hint="default"/>
      </w:rPr>
    </w:lvl>
    <w:lvl w:ilvl="5" w:tplc="04220005" w:tentative="1">
      <w:start w:val="1"/>
      <w:numFmt w:val="bullet"/>
      <w:lvlText w:val=""/>
      <w:lvlJc w:val="left"/>
      <w:pPr>
        <w:ind w:left="5060" w:hanging="360"/>
      </w:pPr>
      <w:rPr>
        <w:rFonts w:ascii="Wingdings" w:hAnsi="Wingdings" w:hint="default"/>
      </w:rPr>
    </w:lvl>
    <w:lvl w:ilvl="6" w:tplc="04220001" w:tentative="1">
      <w:start w:val="1"/>
      <w:numFmt w:val="bullet"/>
      <w:lvlText w:val=""/>
      <w:lvlJc w:val="left"/>
      <w:pPr>
        <w:ind w:left="5780" w:hanging="360"/>
      </w:pPr>
      <w:rPr>
        <w:rFonts w:ascii="Symbol" w:hAnsi="Symbol" w:hint="default"/>
      </w:rPr>
    </w:lvl>
    <w:lvl w:ilvl="7" w:tplc="04220003" w:tentative="1">
      <w:start w:val="1"/>
      <w:numFmt w:val="bullet"/>
      <w:lvlText w:val="o"/>
      <w:lvlJc w:val="left"/>
      <w:pPr>
        <w:ind w:left="6500" w:hanging="360"/>
      </w:pPr>
      <w:rPr>
        <w:rFonts w:ascii="Courier New" w:hAnsi="Courier New" w:cs="Courier New" w:hint="default"/>
      </w:rPr>
    </w:lvl>
    <w:lvl w:ilvl="8" w:tplc="04220005" w:tentative="1">
      <w:start w:val="1"/>
      <w:numFmt w:val="bullet"/>
      <w:lvlText w:val=""/>
      <w:lvlJc w:val="left"/>
      <w:pPr>
        <w:ind w:left="72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 w:numId="7">
    <w:abstractNumId w:val="8"/>
  </w:num>
  <w:num w:numId="8">
    <w:abstractNumId w:val="9"/>
  </w:num>
  <w:num w:numId="9">
    <w:abstractNumId w:val="6"/>
  </w:num>
  <w:num w:numId="10">
    <w:abstractNumId w:val="11"/>
  </w:num>
  <w:num w:numId="11">
    <w:abstractNumId w:val="12"/>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5D9"/>
    <w:rsid w:val="000229A7"/>
    <w:rsid w:val="000328AC"/>
    <w:rsid w:val="00036157"/>
    <w:rsid w:val="0005120D"/>
    <w:rsid w:val="00080CE6"/>
    <w:rsid w:val="00081F9B"/>
    <w:rsid w:val="000B65B3"/>
    <w:rsid w:val="000C6F8C"/>
    <w:rsid w:val="000D167D"/>
    <w:rsid w:val="00115DC7"/>
    <w:rsid w:val="001215B3"/>
    <w:rsid w:val="00126536"/>
    <w:rsid w:val="00137E11"/>
    <w:rsid w:val="00142E80"/>
    <w:rsid w:val="00177899"/>
    <w:rsid w:val="001A0D3E"/>
    <w:rsid w:val="001D3332"/>
    <w:rsid w:val="001D5A4A"/>
    <w:rsid w:val="001E5246"/>
    <w:rsid w:val="001F60F4"/>
    <w:rsid w:val="00240935"/>
    <w:rsid w:val="002A4345"/>
    <w:rsid w:val="002C4D8B"/>
    <w:rsid w:val="002D003C"/>
    <w:rsid w:val="002F6991"/>
    <w:rsid w:val="003066AB"/>
    <w:rsid w:val="0034162C"/>
    <w:rsid w:val="00371422"/>
    <w:rsid w:val="00371DF5"/>
    <w:rsid w:val="00374B63"/>
    <w:rsid w:val="003777E2"/>
    <w:rsid w:val="003C5C99"/>
    <w:rsid w:val="003D4E66"/>
    <w:rsid w:val="003E2B98"/>
    <w:rsid w:val="003F4EBE"/>
    <w:rsid w:val="003F689E"/>
    <w:rsid w:val="00431F5A"/>
    <w:rsid w:val="00440817"/>
    <w:rsid w:val="004901EF"/>
    <w:rsid w:val="004A3A8B"/>
    <w:rsid w:val="004C2C16"/>
    <w:rsid w:val="004C6883"/>
    <w:rsid w:val="0052334D"/>
    <w:rsid w:val="00544A87"/>
    <w:rsid w:val="00555E94"/>
    <w:rsid w:val="00582457"/>
    <w:rsid w:val="005D49D0"/>
    <w:rsid w:val="00635923"/>
    <w:rsid w:val="00646D94"/>
    <w:rsid w:val="00681E05"/>
    <w:rsid w:val="006865CB"/>
    <w:rsid w:val="0070001F"/>
    <w:rsid w:val="00736CCD"/>
    <w:rsid w:val="0074390C"/>
    <w:rsid w:val="00766AE3"/>
    <w:rsid w:val="00780246"/>
    <w:rsid w:val="007B0839"/>
    <w:rsid w:val="007C31D6"/>
    <w:rsid w:val="007E131A"/>
    <w:rsid w:val="00802006"/>
    <w:rsid w:val="0082552E"/>
    <w:rsid w:val="00840E1B"/>
    <w:rsid w:val="00873CE1"/>
    <w:rsid w:val="008C3BF8"/>
    <w:rsid w:val="008C5C87"/>
    <w:rsid w:val="009208C1"/>
    <w:rsid w:val="0092323D"/>
    <w:rsid w:val="009A5055"/>
    <w:rsid w:val="009B4CFD"/>
    <w:rsid w:val="009C3567"/>
    <w:rsid w:val="009F160B"/>
    <w:rsid w:val="00A018A3"/>
    <w:rsid w:val="00A12B83"/>
    <w:rsid w:val="00A64B33"/>
    <w:rsid w:val="00A76167"/>
    <w:rsid w:val="00A97312"/>
    <w:rsid w:val="00AA5731"/>
    <w:rsid w:val="00AB4F23"/>
    <w:rsid w:val="00AD621F"/>
    <w:rsid w:val="00AE67BA"/>
    <w:rsid w:val="00AE6F07"/>
    <w:rsid w:val="00AF7040"/>
    <w:rsid w:val="00B02B9D"/>
    <w:rsid w:val="00B10607"/>
    <w:rsid w:val="00B16F67"/>
    <w:rsid w:val="00B269E0"/>
    <w:rsid w:val="00B85B96"/>
    <w:rsid w:val="00C04B9D"/>
    <w:rsid w:val="00C215CB"/>
    <w:rsid w:val="00C37828"/>
    <w:rsid w:val="00C63033"/>
    <w:rsid w:val="00C80CBE"/>
    <w:rsid w:val="00C8754C"/>
    <w:rsid w:val="00CB202F"/>
    <w:rsid w:val="00CB3BDD"/>
    <w:rsid w:val="00D30C0F"/>
    <w:rsid w:val="00D802DC"/>
    <w:rsid w:val="00D8497D"/>
    <w:rsid w:val="00E20693"/>
    <w:rsid w:val="00E36F0A"/>
    <w:rsid w:val="00E555D9"/>
    <w:rsid w:val="00EB71D1"/>
    <w:rsid w:val="00EC5678"/>
    <w:rsid w:val="00EE1A39"/>
    <w:rsid w:val="00EE2895"/>
    <w:rsid w:val="00F40751"/>
    <w:rsid w:val="00F4718C"/>
    <w:rsid w:val="00F62F44"/>
    <w:rsid w:val="00F93C4C"/>
    <w:rsid w:val="00FA4B60"/>
    <w:rsid w:val="00FC691D"/>
    <w:rsid w:val="00FC7A47"/>
    <w:rsid w:val="00FF74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uk-UA" w:eastAsia="en-US" w:bidi="ar-SA"/>
      </w:rPr>
    </w:rPrDefault>
    <w:pPrDefault>
      <w:pPr>
        <w:spacing w:line="240" w:lineRule="atLeast"/>
        <w:ind w:left="5812"/>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12B83"/>
    <w:pPr>
      <w:spacing w:line="240" w:lineRule="auto"/>
      <w:ind w:left="0"/>
    </w:pPr>
    <w:rPr>
      <w:rFonts w:ascii="Calibri" w:eastAsia="Calibri" w:hAnsi="Calibri"/>
    </w:rPr>
  </w:style>
  <w:style w:type="paragraph" w:styleId="1">
    <w:name w:val="heading 1"/>
    <w:basedOn w:val="a0"/>
    <w:link w:val="10"/>
    <w:qFormat/>
    <w:rsid w:val="003066AB"/>
    <w:pPr>
      <w:spacing w:before="100" w:beforeAutospacing="1" w:after="100" w:afterAutospacing="1"/>
      <w:outlineLvl w:val="0"/>
    </w:pPr>
    <w:rPr>
      <w:rFonts w:eastAsia="Times New Roman"/>
      <w:b/>
      <w:bCs/>
      <w:kern w:val="36"/>
      <w:sz w:val="48"/>
      <w:szCs w:val="48"/>
      <w:lang w:eastAsia="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066AB"/>
    <w:rPr>
      <w:rFonts w:eastAsia="Times New Roman"/>
      <w:b/>
      <w:bCs/>
      <w:kern w:val="36"/>
      <w:sz w:val="48"/>
      <w:szCs w:val="48"/>
      <w:lang w:eastAsia="uk-UA"/>
    </w:rPr>
  </w:style>
  <w:style w:type="character" w:styleId="a4">
    <w:name w:val="Strong"/>
    <w:basedOn w:val="a1"/>
    <w:uiPriority w:val="22"/>
    <w:qFormat/>
    <w:rsid w:val="003066AB"/>
    <w:rPr>
      <w:b/>
      <w:bCs/>
    </w:rPr>
  </w:style>
  <w:style w:type="paragraph" w:customStyle="1" w:styleId="a">
    <w:name w:val="Мой стиль списка"/>
    <w:basedOn w:val="a0"/>
    <w:rsid w:val="00A12B83"/>
    <w:pPr>
      <w:numPr>
        <w:numId w:val="3"/>
      </w:numPr>
      <w:suppressAutoHyphens/>
      <w:spacing w:before="120"/>
      <w:ind w:left="709" w:hanging="709"/>
      <w:jc w:val="both"/>
    </w:pPr>
    <w:rPr>
      <w:rFonts w:ascii="Times New Roman" w:eastAsia="Times New Roman" w:hAnsi="Times New Roman"/>
      <w:lang w:val="ru-RU" w:eastAsia="zh-CN"/>
    </w:rPr>
  </w:style>
  <w:style w:type="paragraph" w:styleId="a5">
    <w:name w:val="header"/>
    <w:basedOn w:val="a0"/>
    <w:link w:val="a6"/>
    <w:uiPriority w:val="99"/>
    <w:unhideWhenUsed/>
    <w:rsid w:val="00A12B83"/>
    <w:pPr>
      <w:tabs>
        <w:tab w:val="center" w:pos="4677"/>
        <w:tab w:val="right" w:pos="9355"/>
      </w:tabs>
    </w:pPr>
  </w:style>
  <w:style w:type="character" w:customStyle="1" w:styleId="a6">
    <w:name w:val="Верхний колонтитул Знак"/>
    <w:basedOn w:val="a1"/>
    <w:link w:val="a5"/>
    <w:uiPriority w:val="99"/>
    <w:rsid w:val="00A12B83"/>
    <w:rPr>
      <w:rFonts w:ascii="Calibri" w:eastAsia="Calibri" w:hAnsi="Calibri"/>
    </w:rPr>
  </w:style>
  <w:style w:type="paragraph" w:styleId="a7">
    <w:name w:val="footer"/>
    <w:basedOn w:val="a0"/>
    <w:link w:val="a8"/>
    <w:uiPriority w:val="99"/>
    <w:unhideWhenUsed/>
    <w:rsid w:val="00A12B83"/>
    <w:pPr>
      <w:tabs>
        <w:tab w:val="center" w:pos="4677"/>
        <w:tab w:val="right" w:pos="9355"/>
      </w:tabs>
    </w:pPr>
  </w:style>
  <w:style w:type="character" w:customStyle="1" w:styleId="a8">
    <w:name w:val="Нижний колонтитул Знак"/>
    <w:basedOn w:val="a1"/>
    <w:link w:val="a7"/>
    <w:uiPriority w:val="99"/>
    <w:rsid w:val="00A12B83"/>
    <w:rPr>
      <w:rFonts w:ascii="Calibri" w:eastAsia="Calibri" w:hAnsi="Calibri"/>
    </w:rPr>
  </w:style>
  <w:style w:type="table" w:styleId="a9">
    <w:name w:val="Table Grid"/>
    <w:basedOn w:val="a2"/>
    <w:uiPriority w:val="59"/>
    <w:rsid w:val="004A3A8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0"/>
    <w:uiPriority w:val="34"/>
    <w:qFormat/>
    <w:rsid w:val="000D167D"/>
    <w:pPr>
      <w:ind w:left="720"/>
      <w:contextualSpacing/>
    </w:pPr>
  </w:style>
  <w:style w:type="paragraph" w:customStyle="1" w:styleId="-11">
    <w:name w:val="Цветной список - Акцент 11"/>
    <w:basedOn w:val="a0"/>
    <w:rsid w:val="000D167D"/>
    <w:pPr>
      <w:numPr>
        <w:numId w:val="6"/>
      </w:numPr>
      <w:suppressAutoHyphens/>
      <w:spacing w:before="200" w:after="200"/>
      <w:jc w:val="both"/>
    </w:pPr>
    <w:rPr>
      <w:rFonts w:ascii="Times New Roman" w:eastAsia="Times New Roman" w:hAnsi="Times New Roman"/>
      <w:bCs/>
      <w:lang w:eastAsia="zh-CN"/>
    </w:rPr>
  </w:style>
  <w:style w:type="paragraph" w:styleId="ab">
    <w:name w:val="Balloon Text"/>
    <w:basedOn w:val="a0"/>
    <w:link w:val="ac"/>
    <w:uiPriority w:val="99"/>
    <w:semiHidden/>
    <w:unhideWhenUsed/>
    <w:rsid w:val="00C80CBE"/>
    <w:rPr>
      <w:rFonts w:ascii="Tahoma" w:hAnsi="Tahoma" w:cs="Tahoma"/>
      <w:sz w:val="16"/>
      <w:szCs w:val="16"/>
    </w:rPr>
  </w:style>
  <w:style w:type="character" w:customStyle="1" w:styleId="ac">
    <w:name w:val="Текст выноски Знак"/>
    <w:basedOn w:val="a1"/>
    <w:link w:val="ab"/>
    <w:uiPriority w:val="99"/>
    <w:semiHidden/>
    <w:rsid w:val="00C80CBE"/>
    <w:rPr>
      <w:rFonts w:ascii="Tahoma" w:eastAsia="Calibri" w:hAnsi="Tahoma" w:cs="Tahoma"/>
      <w:sz w:val="16"/>
      <w:szCs w:val="16"/>
    </w:rPr>
  </w:style>
  <w:style w:type="character" w:styleId="ad">
    <w:name w:val="annotation reference"/>
    <w:basedOn w:val="a1"/>
    <w:uiPriority w:val="99"/>
    <w:semiHidden/>
    <w:unhideWhenUsed/>
    <w:rsid w:val="000328AC"/>
    <w:rPr>
      <w:sz w:val="16"/>
      <w:szCs w:val="16"/>
    </w:rPr>
  </w:style>
  <w:style w:type="paragraph" w:styleId="ae">
    <w:name w:val="annotation text"/>
    <w:basedOn w:val="a0"/>
    <w:link w:val="af"/>
    <w:uiPriority w:val="99"/>
    <w:semiHidden/>
    <w:unhideWhenUsed/>
    <w:rsid w:val="000328AC"/>
    <w:rPr>
      <w:sz w:val="20"/>
      <w:szCs w:val="20"/>
    </w:rPr>
  </w:style>
  <w:style w:type="character" w:customStyle="1" w:styleId="af">
    <w:name w:val="Текст примечания Знак"/>
    <w:basedOn w:val="a1"/>
    <w:link w:val="ae"/>
    <w:uiPriority w:val="99"/>
    <w:semiHidden/>
    <w:rsid w:val="000328AC"/>
    <w:rPr>
      <w:rFonts w:ascii="Calibri" w:eastAsia="Calibri" w:hAnsi="Calibri"/>
      <w:sz w:val="20"/>
      <w:szCs w:val="20"/>
    </w:rPr>
  </w:style>
  <w:style w:type="paragraph" w:styleId="af0">
    <w:name w:val="annotation subject"/>
    <w:basedOn w:val="ae"/>
    <w:next w:val="ae"/>
    <w:link w:val="af1"/>
    <w:uiPriority w:val="99"/>
    <w:semiHidden/>
    <w:unhideWhenUsed/>
    <w:rsid w:val="000328AC"/>
    <w:rPr>
      <w:b/>
      <w:bCs/>
    </w:rPr>
  </w:style>
  <w:style w:type="character" w:customStyle="1" w:styleId="af1">
    <w:name w:val="Тема примечания Знак"/>
    <w:basedOn w:val="af"/>
    <w:link w:val="af0"/>
    <w:uiPriority w:val="99"/>
    <w:semiHidden/>
    <w:rsid w:val="000328AC"/>
    <w:rPr>
      <w:rFonts w:ascii="Calibri" w:eastAsia="Calibri" w:hAnsi="Calibr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uk-UA" w:eastAsia="en-US" w:bidi="ar-SA"/>
      </w:rPr>
    </w:rPrDefault>
    <w:pPrDefault>
      <w:pPr>
        <w:spacing w:line="240" w:lineRule="atLeast"/>
        <w:ind w:left="5812"/>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12B83"/>
    <w:pPr>
      <w:spacing w:line="240" w:lineRule="auto"/>
      <w:ind w:left="0"/>
    </w:pPr>
    <w:rPr>
      <w:rFonts w:ascii="Calibri" w:eastAsia="Calibri" w:hAnsi="Calibri"/>
    </w:rPr>
  </w:style>
  <w:style w:type="paragraph" w:styleId="1">
    <w:name w:val="heading 1"/>
    <w:basedOn w:val="a0"/>
    <w:link w:val="10"/>
    <w:qFormat/>
    <w:rsid w:val="003066AB"/>
    <w:pPr>
      <w:spacing w:before="100" w:beforeAutospacing="1" w:after="100" w:afterAutospacing="1"/>
      <w:outlineLvl w:val="0"/>
    </w:pPr>
    <w:rPr>
      <w:rFonts w:eastAsia="Times New Roman"/>
      <w:b/>
      <w:bCs/>
      <w:kern w:val="36"/>
      <w:sz w:val="48"/>
      <w:szCs w:val="48"/>
      <w:lang w:eastAsia="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066AB"/>
    <w:rPr>
      <w:rFonts w:eastAsia="Times New Roman"/>
      <w:b/>
      <w:bCs/>
      <w:kern w:val="36"/>
      <w:sz w:val="48"/>
      <w:szCs w:val="48"/>
      <w:lang w:eastAsia="uk-UA"/>
    </w:rPr>
  </w:style>
  <w:style w:type="character" w:styleId="a4">
    <w:name w:val="Strong"/>
    <w:basedOn w:val="a1"/>
    <w:uiPriority w:val="22"/>
    <w:qFormat/>
    <w:rsid w:val="003066AB"/>
    <w:rPr>
      <w:b/>
      <w:bCs/>
    </w:rPr>
  </w:style>
  <w:style w:type="paragraph" w:customStyle="1" w:styleId="a">
    <w:name w:val="Мой стиль списка"/>
    <w:basedOn w:val="a0"/>
    <w:rsid w:val="00A12B83"/>
    <w:pPr>
      <w:numPr>
        <w:numId w:val="3"/>
      </w:numPr>
      <w:suppressAutoHyphens/>
      <w:spacing w:before="120"/>
      <w:ind w:left="709" w:hanging="709"/>
      <w:jc w:val="both"/>
    </w:pPr>
    <w:rPr>
      <w:rFonts w:ascii="Times New Roman" w:eastAsia="Times New Roman" w:hAnsi="Times New Roman"/>
      <w:lang w:val="ru-RU" w:eastAsia="zh-CN"/>
    </w:rPr>
  </w:style>
  <w:style w:type="paragraph" w:styleId="a5">
    <w:name w:val="header"/>
    <w:basedOn w:val="a0"/>
    <w:link w:val="a6"/>
    <w:uiPriority w:val="99"/>
    <w:unhideWhenUsed/>
    <w:rsid w:val="00A12B83"/>
    <w:pPr>
      <w:tabs>
        <w:tab w:val="center" w:pos="4677"/>
        <w:tab w:val="right" w:pos="9355"/>
      </w:tabs>
    </w:pPr>
  </w:style>
  <w:style w:type="character" w:customStyle="1" w:styleId="a6">
    <w:name w:val="Верхний колонтитул Знак"/>
    <w:basedOn w:val="a1"/>
    <w:link w:val="a5"/>
    <w:uiPriority w:val="99"/>
    <w:rsid w:val="00A12B83"/>
    <w:rPr>
      <w:rFonts w:ascii="Calibri" w:eastAsia="Calibri" w:hAnsi="Calibri"/>
    </w:rPr>
  </w:style>
  <w:style w:type="paragraph" w:styleId="a7">
    <w:name w:val="footer"/>
    <w:basedOn w:val="a0"/>
    <w:link w:val="a8"/>
    <w:uiPriority w:val="99"/>
    <w:unhideWhenUsed/>
    <w:rsid w:val="00A12B83"/>
    <w:pPr>
      <w:tabs>
        <w:tab w:val="center" w:pos="4677"/>
        <w:tab w:val="right" w:pos="9355"/>
      </w:tabs>
    </w:pPr>
  </w:style>
  <w:style w:type="character" w:customStyle="1" w:styleId="a8">
    <w:name w:val="Нижний колонтитул Знак"/>
    <w:basedOn w:val="a1"/>
    <w:link w:val="a7"/>
    <w:uiPriority w:val="99"/>
    <w:rsid w:val="00A12B83"/>
    <w:rPr>
      <w:rFonts w:ascii="Calibri" w:eastAsia="Calibri" w:hAnsi="Calibri"/>
    </w:rPr>
  </w:style>
  <w:style w:type="table" w:styleId="a9">
    <w:name w:val="Table Grid"/>
    <w:basedOn w:val="a2"/>
    <w:uiPriority w:val="59"/>
    <w:rsid w:val="004A3A8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0"/>
    <w:uiPriority w:val="34"/>
    <w:qFormat/>
    <w:rsid w:val="000D167D"/>
    <w:pPr>
      <w:ind w:left="720"/>
      <w:contextualSpacing/>
    </w:pPr>
  </w:style>
  <w:style w:type="paragraph" w:customStyle="1" w:styleId="-11">
    <w:name w:val="Цветной список - Акцент 11"/>
    <w:basedOn w:val="a0"/>
    <w:rsid w:val="000D167D"/>
    <w:pPr>
      <w:numPr>
        <w:numId w:val="6"/>
      </w:numPr>
      <w:suppressAutoHyphens/>
      <w:spacing w:before="200" w:after="200"/>
      <w:jc w:val="both"/>
    </w:pPr>
    <w:rPr>
      <w:rFonts w:ascii="Times New Roman" w:eastAsia="Times New Roman" w:hAnsi="Times New Roman"/>
      <w:bCs/>
      <w:lang w:eastAsia="zh-CN"/>
    </w:rPr>
  </w:style>
  <w:style w:type="paragraph" w:styleId="ab">
    <w:name w:val="Balloon Text"/>
    <w:basedOn w:val="a0"/>
    <w:link w:val="ac"/>
    <w:uiPriority w:val="99"/>
    <w:semiHidden/>
    <w:unhideWhenUsed/>
    <w:rsid w:val="00C80CBE"/>
    <w:rPr>
      <w:rFonts w:ascii="Tahoma" w:hAnsi="Tahoma" w:cs="Tahoma"/>
      <w:sz w:val="16"/>
      <w:szCs w:val="16"/>
    </w:rPr>
  </w:style>
  <w:style w:type="character" w:customStyle="1" w:styleId="ac">
    <w:name w:val="Текст выноски Знак"/>
    <w:basedOn w:val="a1"/>
    <w:link w:val="ab"/>
    <w:uiPriority w:val="99"/>
    <w:semiHidden/>
    <w:rsid w:val="00C80CBE"/>
    <w:rPr>
      <w:rFonts w:ascii="Tahoma" w:eastAsia="Calibri" w:hAnsi="Tahoma" w:cs="Tahoma"/>
      <w:sz w:val="16"/>
      <w:szCs w:val="16"/>
    </w:rPr>
  </w:style>
  <w:style w:type="character" w:styleId="ad">
    <w:name w:val="annotation reference"/>
    <w:basedOn w:val="a1"/>
    <w:uiPriority w:val="99"/>
    <w:semiHidden/>
    <w:unhideWhenUsed/>
    <w:rsid w:val="000328AC"/>
    <w:rPr>
      <w:sz w:val="16"/>
      <w:szCs w:val="16"/>
    </w:rPr>
  </w:style>
  <w:style w:type="paragraph" w:styleId="ae">
    <w:name w:val="annotation text"/>
    <w:basedOn w:val="a0"/>
    <w:link w:val="af"/>
    <w:uiPriority w:val="99"/>
    <w:semiHidden/>
    <w:unhideWhenUsed/>
    <w:rsid w:val="000328AC"/>
    <w:rPr>
      <w:sz w:val="20"/>
      <w:szCs w:val="20"/>
    </w:rPr>
  </w:style>
  <w:style w:type="character" w:customStyle="1" w:styleId="af">
    <w:name w:val="Текст примечания Знак"/>
    <w:basedOn w:val="a1"/>
    <w:link w:val="ae"/>
    <w:uiPriority w:val="99"/>
    <w:semiHidden/>
    <w:rsid w:val="000328AC"/>
    <w:rPr>
      <w:rFonts w:ascii="Calibri" w:eastAsia="Calibri" w:hAnsi="Calibri"/>
      <w:sz w:val="20"/>
      <w:szCs w:val="20"/>
    </w:rPr>
  </w:style>
  <w:style w:type="paragraph" w:styleId="af0">
    <w:name w:val="annotation subject"/>
    <w:basedOn w:val="ae"/>
    <w:next w:val="ae"/>
    <w:link w:val="af1"/>
    <w:uiPriority w:val="99"/>
    <w:semiHidden/>
    <w:unhideWhenUsed/>
    <w:rsid w:val="000328AC"/>
    <w:rPr>
      <w:b/>
      <w:bCs/>
    </w:rPr>
  </w:style>
  <w:style w:type="character" w:customStyle="1" w:styleId="af1">
    <w:name w:val="Тема примечания Знак"/>
    <w:basedOn w:val="af"/>
    <w:link w:val="af0"/>
    <w:uiPriority w:val="99"/>
    <w:semiHidden/>
    <w:rsid w:val="000328AC"/>
    <w:rPr>
      <w:rFonts w:ascii="Calibri" w:eastAsia="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0D80C-23E2-463D-81B4-E74407583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6419</Words>
  <Characters>36591</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Вдовиченко Сергій Миколайович</dc:creator>
  <cp:lastModifiedBy>Пользователь Windows</cp:lastModifiedBy>
  <cp:revision>2</cp:revision>
  <cp:lastPrinted>2021-04-23T12:07:00Z</cp:lastPrinted>
  <dcterms:created xsi:type="dcterms:W3CDTF">2021-04-29T19:28:00Z</dcterms:created>
  <dcterms:modified xsi:type="dcterms:W3CDTF">2021-04-29T19:28:00Z</dcterms:modified>
</cp:coreProperties>
</file>